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7D" w:rsidRPr="0002797E" w:rsidRDefault="00D150A9" w:rsidP="0002797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脆弱家庭家長親職支持團體之成效探究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壹、前言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脆弱家庭（簡稱脆家）成為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社安網關注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的服務對象之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一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面臨家庭功能不足、失業、嚴重疾病、災難事件等困境，因而承受情緒困擾、子女教養問題、經濟困難、角色負荷過重等多重壓力，這些皆造成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家家長親職上的困難，長期下來，對身心也造成嚴重傷害及影響。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社安網目前針對脆家困境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給予的協助以經濟物質層面居多，親職支持團體較少，但透過團體成員的相互支持與協助，親職支持團體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提供脆家家長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壓力紓解、抒發情緒的機會，進而達到重整情緒、降低壓力、學習壓力調適等目標。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貳、文獻探討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（一）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的困境及壓力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2018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年，行政院衛生福利部核定了強化社會安全網計畫。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2021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年，該計畫針對成果進行審視並調整內容，隨後核定了強化社會安全網計畫的第二期，期望建立更緊密的社區和家庭支援網絡，以減少社會安全風險。第一期計畫將過去統稱為高風險家庭或弱勢家庭的家庭，根據風險程度細分為脆弱家庭和危機家庭。脆弱家庭是指由於風險、貧窮和其他多種問題導致物質、心理、生理和環境方面脆弱的家庭，需要多重支援和介入。行政院根據第一期計畫的執行現況，於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2020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年增訂脆弱家庭的六大需求作為辨識和評估的依據，這六大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需求按照脆弱性因素分為家庭經濟陷入困境、家庭支持系統變化、家庭關係衝突或疏離、兒童少年發展不利處境、家庭成員處於不利處境以及個人生活適應困難等六個類型。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然而，這些脆弱性因素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使脆家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家長同時承受情緒困擾、子女教養問題、經濟困難、角色負荷過重等多重壓力，且這些壓力往往不易被外人察覺，長期下來，皆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對脆家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家長的身心狀態形成嚴重傷害和影響。例如：脆弱家庭中，若家中育有身心障礙或罕見疾病的子女，除了對家庭造成嚴重負擔，也因為需要時常面對孩子的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不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穩定性，皆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造成脆家家長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的照顧壓力；然而，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若脆家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家長因忙於照顧孩子，無暇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維持自身的人際支持網絡時，可能因此陷入獨自面對的困境，更加劇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了脆家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家長的無力與無助。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（二）親職支持團體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對脆家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家長的重要性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團體諮商可作為一個社會支持來源，透過營造安心、舒適的空間，使成員在團體內安心暢談面臨的困境與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煩惱，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藉此達到舒壓效果及獲得支持。檢視學者們對支持性團體的相關文獻，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Toseland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與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Rivas(2005)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認為支持性團體是成員基於共同經驗組成，藉由互相分享壓力事件，以恢復應變能力的團體；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Jacobs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等人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(2015)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認為支持性團體是由有共同議題成員所組成，透過專業人員帶領彼此分享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想法、感受並檢視議題與關注焦點的團體。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lastRenderedPageBreak/>
        <w:t xml:space="preserve">　　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社安網目前針對脆家困境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給予的協助以經濟物質層面居多，親職支持團體較少，然而，親職支持團體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提供脆家家長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壓力紓解、抒發情緒的機會，進而達到重整情緒、降低壓力、學習壓力調適等目標。因此，脆家家長親職支持團體以情感支持為導向，邀請有相似經歷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之脆家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家長為團體成員，透過資訊與經驗的交流分享，引導、催化成員互動與分享，彼此相互支持與協助。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（三）理論觀點：社會支持理論</w:t>
      </w:r>
    </w:p>
    <w:p w:rsidR="00371D7D" w:rsidRPr="0002797E" w:rsidRDefault="00D150A9" w:rsidP="002012C2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社會支持定義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br/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社會支持是指個人能夠從人際網絡或社會支援中獲得之各項協助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(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Colvin,Cullen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, &amp; Thomas, 2002)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Cohen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、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Underwood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與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Gottlieb(2000)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也指出，「社會支持」廣義而言，是指任何可能促進個人健康與幸福感歷程的社會關係。因此，所謂的社會支持便是人與人在互動中得以解決問題或降低壓力，並進而肯定自我，當個人擁有較多的社會支持時，面臨壓力事件時會經驗到較少的壓力，且能較成功因應壓力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2012C2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社會支持的類型與來源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br/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Brown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）、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Caplan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）將社會支持來源分為兩大類，即為正式及非正式支持兩種。其中，非正式的社會支持來源是指在自然情境、無特定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結構或者日常生活中人際互動中應運而生（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Caplan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, 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），包括家人、親戚、朋友、鄰居、同事等（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Brown, 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）；正式的社會支持來源則是藉由政府或社會組織所提供之服務或支持（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Caplan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, 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Cutrona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and Russell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1990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）將社會支持歸納為五種：（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）情緒性支持：個體從他人身上獲得關愛、瞭解及同情，感受到鼓勵與安慰。（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）社會網路支持：個體對團體有隸屬感，能與團體成員共同參與活動。（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3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）尊重支持：個體藉由他人的協助，感受自己是有能力且被尊重的。（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）訊息性支持：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個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體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能從他人所提供之意見、建議與訊息獲益。（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5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）工具性支持：個體獲得他人直接的幫助，包含金錢、時間、物質等。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br/>
      </w:r>
    </w:p>
    <w:p w:rsidR="00371D7D" w:rsidRPr="0002797E" w:rsidRDefault="00D150A9" w:rsidP="0002797E">
      <w:pPr>
        <w:numPr>
          <w:ilvl w:val="0"/>
          <w:numId w:val="1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社會支持的重要性</w:t>
      </w:r>
    </w:p>
    <w:p w:rsidR="00371D7D" w:rsidRPr="0002797E" w:rsidRDefault="00D150A9" w:rsidP="0002797E">
      <w:pPr>
        <w:numPr>
          <w:ilvl w:val="0"/>
          <w:numId w:val="14"/>
        </w:numPr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社會支持協助個體緩衝壓力</w:t>
      </w:r>
    </w:p>
    <w:p w:rsidR="00371D7D" w:rsidRPr="0002797E" w:rsidRDefault="00D150A9" w:rsidP="0002797E">
      <w:pPr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適當的社會支持可以提供個體處理壓力的經驗，並獲得解決問題的方法（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CohenWills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1985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）。社會支持有助於個人長期生活挑戰及壓力下，改善適應能力。</w:t>
      </w:r>
    </w:p>
    <w:p w:rsidR="00371D7D" w:rsidRPr="0002797E" w:rsidRDefault="00D150A9" w:rsidP="0002797E">
      <w:pPr>
        <w:numPr>
          <w:ilvl w:val="0"/>
          <w:numId w:val="14"/>
        </w:numPr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社會支持對身心健康的重要性</w:t>
      </w:r>
    </w:p>
    <w:p w:rsidR="002012C2" w:rsidRDefault="00D150A9" w:rsidP="0002797E">
      <w:pPr>
        <w:ind w:left="1133"/>
        <w:jc w:val="both"/>
        <w:rPr>
          <w:rFonts w:asciiTheme="majorEastAsia" w:eastAsiaTheme="majorEastAsia" w:hAnsiTheme="majorEastAsia" w:cs="Arial Unicode MS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人類是群居動物，必須與他人建立關係，並在互動中彼此傳遞訊息交換資源，並形成該群體文化的健康信念，進而影響個人對健康的態度及行為（</w:t>
      </w: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Sarafino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1994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</w:t>
      </w:r>
    </w:p>
    <w:p w:rsidR="00371D7D" w:rsidRPr="002012C2" w:rsidRDefault="002012C2" w:rsidP="002012C2">
      <w:pPr>
        <w:rPr>
          <w:rFonts w:asciiTheme="majorEastAsia" w:eastAsiaTheme="majorEastAsia" w:hAnsiTheme="majorEastAsia" w:cs="Arial Unicode MS"/>
          <w:sz w:val="24"/>
          <w:szCs w:val="24"/>
        </w:rPr>
      </w:pPr>
      <w:r>
        <w:rPr>
          <w:rFonts w:asciiTheme="majorEastAsia" w:eastAsiaTheme="majorEastAsia" w:hAnsiTheme="majorEastAsia" w:cs="Arial Unicode MS"/>
          <w:sz w:val="24"/>
          <w:szCs w:val="24"/>
        </w:rPr>
        <w:br w:type="page"/>
      </w:r>
    </w:p>
    <w:p w:rsidR="00371D7D" w:rsidRPr="0002797E" w:rsidRDefault="00D150A9" w:rsidP="0002797E">
      <w:pPr>
        <w:numPr>
          <w:ilvl w:val="0"/>
          <w:numId w:val="14"/>
        </w:numPr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lastRenderedPageBreak/>
        <w:t>社會支持有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助個體身心健康</w:t>
      </w:r>
    </w:p>
    <w:p w:rsidR="00371D7D" w:rsidRPr="0002797E" w:rsidRDefault="00D150A9" w:rsidP="0002797E">
      <w:pPr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林嘉凌（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2009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）的研究指出，社會支持程度良好者無論在生理或心理上的滿意度都較高，情感支持愈高者，其整體生活品質也愈高。因此，社會支持能夠降低個人的不安全感或負面情緒，進而提升個人身心健康及幸福感。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綜上所述，本研究以社會支持理論為依據，提供團體成員社會支持感，降低負面情緒，進而達到舒壓效果。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參、研究方法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（一）研究設計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由於區域社福中心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是脆家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的服務機構，期望藉由與區域社福中心合作以提供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家家長親職支持，進而達到促進身心健康之效果。透過機構邀約「面臨親職衝突及壓力，且有意願分享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的脆家家長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」，進行為期六次，每次兩小時的高結構、封閉式之親職支持團體。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（二）參與成員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本團體成員原先預計皆為社福中心轉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介之脆家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個案，並未對外進行招募；但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因脆家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家長多為經濟弱勢，社工多次連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繫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邀約後皆無意願參與，想先以工作為主。為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避免脆家家長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標籤化及同質性過高，後來開放同樣面臨教養衝突及壓力的一般家長參與，報名人數共計十位，分別為七位一般家長，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三位社工轉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介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案。經初談及評估後，團體成員最後為五位。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2012C2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表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一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研究對象基本資料</w:t>
      </w:r>
    </w:p>
    <w:tbl>
      <w:tblPr>
        <w:tblStyle w:val="a5"/>
        <w:tblW w:w="10275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750"/>
        <w:gridCol w:w="1770"/>
        <w:gridCol w:w="3540"/>
        <w:gridCol w:w="2160"/>
        <w:gridCol w:w="1275"/>
      </w:tblGrid>
      <w:tr w:rsidR="00371D7D" w:rsidRPr="0002797E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代碼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性別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子女數及年齡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成員狀況簡述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期待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家長類型</w:t>
            </w:r>
          </w:p>
        </w:tc>
      </w:tr>
      <w:tr w:rsidR="00371D7D" w:rsidRPr="0002797E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/>
                <w:sz w:val="24"/>
                <w:szCs w:val="24"/>
              </w:rPr>
              <w:t>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男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1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個兒子</w:t>
            </w:r>
          </w:p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小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兒子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1.5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歲起便由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A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獨自撫養。兒子有注意力不集中、沒耐心、學習進度落後等問題。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4"/>
              </w:numPr>
              <w:spacing w:line="240" w:lineRule="auto"/>
              <w:ind w:left="425" w:right="-36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自述想多賺錢增加收入，不一定可以全程參與。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6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抒發情緒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6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認識情緒帶來的影響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6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壓力紓解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6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尋找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6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認識夥伴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脆家家長</w:t>
            </w:r>
            <w:proofErr w:type="gramEnd"/>
          </w:p>
        </w:tc>
      </w:tr>
      <w:tr w:rsidR="00371D7D" w:rsidRPr="0002797E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/>
                <w:sz w:val="24"/>
                <w:szCs w:val="24"/>
              </w:rPr>
              <w:t>B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女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2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個孫女</w:t>
            </w:r>
          </w:p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幼稚園及小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對兩個孫女進行隔代教養的阿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嬤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3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平時在市場擺攤，收不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不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穩定，有經濟壓力。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21"/>
              </w:numPr>
              <w:spacing w:line="240" w:lineRule="auto"/>
              <w:ind w:left="425" w:right="-226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抒發情緒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1"/>
              </w:numPr>
              <w:spacing w:line="240" w:lineRule="auto"/>
              <w:ind w:left="425" w:right="-3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認識情緒帶來的影響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1"/>
              </w:numPr>
              <w:spacing w:line="240" w:lineRule="auto"/>
              <w:ind w:left="425" w:right="-226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壓力紓解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脆家家長</w:t>
            </w:r>
            <w:proofErr w:type="gramEnd"/>
          </w:p>
        </w:tc>
      </w:tr>
      <w:tr w:rsidR="00371D7D" w:rsidRPr="0002797E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/>
                <w:sz w:val="24"/>
                <w:szCs w:val="24"/>
              </w:rPr>
              <w:t>C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女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1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個兒子</w:t>
            </w:r>
          </w:p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小三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丈夫突發性早逝，目前獨自一人撫養兒子。</w:t>
            </w:r>
          </w:p>
          <w:p w:rsidR="00371D7D" w:rsidRPr="0002797E" w:rsidRDefault="00371D7D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5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抒發情緒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5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認識情緒帶來的影響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5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認識夥伴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一般家長</w:t>
            </w:r>
          </w:p>
        </w:tc>
      </w:tr>
      <w:tr w:rsidR="00371D7D" w:rsidRPr="0002797E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t>D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女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2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個女兒</w:t>
            </w:r>
          </w:p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大學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31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來台定居的新住民。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1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近一個月睡眠較少，時常覺得睡不夠、感到疲憊。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2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抒發情緒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認識情緒帶來的影響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壓力紓解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尋找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認識夥伴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一般家長</w:t>
            </w:r>
          </w:p>
        </w:tc>
      </w:tr>
      <w:tr w:rsidR="00371D7D" w:rsidRPr="0002797E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/>
                <w:sz w:val="24"/>
                <w:szCs w:val="24"/>
              </w:rPr>
              <w:t>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女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2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個女兒</w:t>
            </w:r>
          </w:p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小三及小四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7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來台定居的新住民。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7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對兩個女兒的教養方式感到擔憂。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7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自述身體不好，期望增加經濟收入，覺得壓力大。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9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抒發情緒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9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認識情緒帶來的影響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9"/>
              </w:numPr>
              <w:spacing w:line="240" w:lineRule="auto"/>
              <w:ind w:left="425" w:right="-69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壓力紓解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6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尋找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一般家長</w:t>
            </w:r>
          </w:p>
        </w:tc>
      </w:tr>
    </w:tbl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（三）團體方案設計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　　本研究方案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針對脆家家長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設計六個單元，每次兩小時的團體方案。除了參考社會支持理論的核心概念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將其融進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團體設計中，亦以親職上的情緒及壓力為主軸，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協助脆家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家長探索親職壓力對於自身的影響，藉此達到重整情緒、壓力調適、成員彼此支持的效果，並於團體後期設計「我的未來不是夢」、「尋找應援團」等內容，協助成員看見自己的亮點，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進而賦能成員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。團體開始前及每次單元結束後，分別與團體協同帶領者、觀察員及督導討論後，調整並修改方案內容，以更切合團體成員的實際情況與需求。團體單元目標與摘要表如下：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表二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團體單元目標與摘要表</w:t>
      </w:r>
    </w:p>
    <w:tbl>
      <w:tblPr>
        <w:tblStyle w:val="a6"/>
        <w:tblW w:w="10275" w:type="dxa"/>
        <w:tblInd w:w="-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385"/>
        <w:gridCol w:w="2650"/>
        <w:gridCol w:w="2650"/>
      </w:tblGrid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2012C2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單元名稱</w:t>
            </w: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2012C2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單元目標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2012C2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單元內容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2012C2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理論依據</w:t>
            </w:r>
          </w:p>
        </w:tc>
      </w:tr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第一單元</w:t>
            </w:r>
          </w:p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遇見你真好</w:t>
            </w:r>
          </w:p>
          <w:p w:rsidR="00371D7D" w:rsidRPr="0002797E" w:rsidRDefault="00371D7D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2012C2" w:rsidRDefault="00D150A9" w:rsidP="002012C2">
            <w:pPr>
              <w:widowControl w:val="0"/>
              <w:numPr>
                <w:ilvl w:val="0"/>
                <w:numId w:val="26"/>
              </w:numPr>
              <w:spacing w:line="240" w:lineRule="auto"/>
              <w:ind w:right="12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促進成員認識並提升熟</w:t>
            </w:r>
            <w:r w:rsidRPr="002012C2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悉度。</w:t>
            </w:r>
          </w:p>
          <w:p w:rsidR="00371D7D" w:rsidRPr="0002797E" w:rsidRDefault="00D150A9" w:rsidP="002012C2">
            <w:pPr>
              <w:widowControl w:val="0"/>
              <w:numPr>
                <w:ilvl w:val="0"/>
                <w:numId w:val="26"/>
              </w:numPr>
              <w:spacing w:line="240" w:lineRule="auto"/>
              <w:ind w:right="12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說明團體目標、方式並澄清成員期待。</w:t>
            </w:r>
          </w:p>
          <w:p w:rsidR="00371D7D" w:rsidRPr="0002797E" w:rsidRDefault="00D150A9" w:rsidP="002012C2">
            <w:pPr>
              <w:widowControl w:val="0"/>
              <w:numPr>
                <w:ilvl w:val="0"/>
                <w:numId w:val="26"/>
              </w:numPr>
              <w:spacing w:line="240" w:lineRule="auto"/>
              <w:ind w:right="12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引導成員分享近期壓力事件。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形成團體規範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0"/>
              </w:numPr>
              <w:spacing w:line="240" w:lineRule="auto"/>
              <w:ind w:left="425"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開場白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0"/>
              </w:numPr>
              <w:spacing w:line="240" w:lineRule="auto"/>
              <w:ind w:left="425"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自我介紹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0"/>
              </w:numPr>
              <w:spacing w:line="240" w:lineRule="auto"/>
              <w:ind w:left="425"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壓力甘苦談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0"/>
              </w:numPr>
              <w:spacing w:line="240" w:lineRule="auto"/>
              <w:ind w:left="425"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焦慮量表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0"/>
              </w:numPr>
              <w:spacing w:line="240" w:lineRule="auto"/>
              <w:ind w:left="425"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我們的約定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0"/>
              </w:numPr>
              <w:spacing w:line="240" w:lineRule="auto"/>
              <w:ind w:left="425"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團體回饋與結束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ind w:right="-16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無</w:t>
            </w:r>
          </w:p>
        </w:tc>
      </w:tr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第二單元</w:t>
            </w:r>
          </w:p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心情調色盤</w:t>
            </w:r>
          </w:p>
          <w:p w:rsidR="00371D7D" w:rsidRPr="0002797E" w:rsidRDefault="00371D7D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7"/>
              </w:numPr>
              <w:spacing w:line="240" w:lineRule="auto"/>
              <w:ind w:right="-10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催化團體動力。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7"/>
              </w:numPr>
              <w:spacing w:line="240" w:lineRule="auto"/>
              <w:ind w:right="12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引導成員覺察情緒及情緒變化。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7"/>
              </w:numPr>
              <w:tabs>
                <w:tab w:val="left" w:pos="2919"/>
              </w:tabs>
              <w:spacing w:line="240" w:lineRule="auto"/>
              <w:ind w:right="12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協助成員辨識及命名情緒。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7"/>
              </w:numPr>
              <w:spacing w:line="240" w:lineRule="auto"/>
              <w:ind w:right="-10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練習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壓方式。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3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暖身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球不落地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情緒變變變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心情餐盤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舒壓體驗－三分鐘呼吸空間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4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團體總結與回饋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8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社會支持理論：情緒性支持</w:t>
            </w:r>
          </w:p>
        </w:tc>
      </w:tr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第三單元</w:t>
            </w:r>
          </w:p>
          <w:p w:rsidR="00371D7D" w:rsidRPr="0002797E" w:rsidRDefault="00D150A9" w:rsidP="00530B5C">
            <w:pPr>
              <w:widowControl w:val="0"/>
              <w:spacing w:line="240" w:lineRule="auto"/>
              <w:ind w:rightChars="128" w:right="282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與你同在</w:t>
            </w:r>
          </w:p>
          <w:p w:rsidR="00371D7D" w:rsidRPr="0002797E" w:rsidRDefault="00371D7D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  <w:p w:rsidR="00371D7D" w:rsidRPr="0002797E" w:rsidRDefault="00371D7D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  <w:p w:rsidR="00371D7D" w:rsidRPr="0002797E" w:rsidRDefault="00371D7D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numPr>
                <w:ilvl w:val="0"/>
                <w:numId w:val="22"/>
              </w:numPr>
              <w:spacing w:line="240" w:lineRule="auto"/>
              <w:ind w:right="12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促進成員情感宣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洩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與相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互支持。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提升團體普同感與凝聚力。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催化成員探索壓力事件與感受。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協助成員探索情緒波動與壓力的關聯。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2"/>
              </w:numPr>
              <w:spacing w:line="240" w:lineRule="auto"/>
              <w:ind w:right="-10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練習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壓方式。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19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暖身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9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壓力氣炸鍋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9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情緒波動圖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9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壓體驗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-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彩繪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曼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陀螺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19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尋找自己的亮點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33"/>
              </w:numPr>
              <w:spacing w:line="240" w:lineRule="auto"/>
              <w:ind w:left="425" w:right="-106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社會支持理論：情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緒性支持、訊息性支持</w:t>
            </w:r>
          </w:p>
        </w:tc>
      </w:tr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lastRenderedPageBreak/>
              <w:t>第四單元</w:t>
            </w:r>
          </w:p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支持應援團</w:t>
            </w:r>
          </w:p>
          <w:p w:rsidR="00371D7D" w:rsidRPr="0002797E" w:rsidRDefault="00371D7D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20"/>
              </w:numPr>
              <w:spacing w:line="240" w:lineRule="auto"/>
              <w:ind w:left="425" w:right="-10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催化成員相互支持。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協助成員了解壓力及情緒對身心的影響。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引導成員探索壓力困境下的自我期待。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20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協助成員檢視支持系統，並檢核此支持系統是否有效。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0"/>
              </w:numPr>
              <w:spacing w:line="240" w:lineRule="auto"/>
              <w:ind w:left="425" w:right="-10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練習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壓方式。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27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暖身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7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身心狀況顯微鏡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7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壓體驗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-</w:t>
            </w: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身體掃描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7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尋找應援團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7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團體回饋與總結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5"/>
              </w:numPr>
              <w:spacing w:line="240" w:lineRule="auto"/>
              <w:ind w:left="425" w:right="-106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社會支持理論：情緒性支持、訊息性支持、工具性支持</w:t>
            </w:r>
          </w:p>
          <w:p w:rsidR="00371D7D" w:rsidRPr="0002797E" w:rsidRDefault="00371D7D" w:rsidP="0002797E">
            <w:pPr>
              <w:widowControl w:val="0"/>
              <w:spacing w:line="240" w:lineRule="auto"/>
              <w:ind w:right="-41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第五單元</w:t>
            </w:r>
          </w:p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我的未來不是夢</w:t>
            </w:r>
          </w:p>
          <w:p w:rsidR="00371D7D" w:rsidRPr="0002797E" w:rsidRDefault="00371D7D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29"/>
              </w:numPr>
              <w:spacing w:line="240" w:lineRule="auto"/>
              <w:ind w:left="360" w:right="-3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催化成員相互支持。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9"/>
              </w:numPr>
              <w:spacing w:line="240" w:lineRule="auto"/>
              <w:ind w:left="360" w:right="-3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幫助成員準備結束團體。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9"/>
              </w:numPr>
              <w:spacing w:line="240" w:lineRule="auto"/>
              <w:ind w:left="360" w:right="-3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引導成員以更有彈性的方式因應壓力。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9"/>
              </w:numPr>
              <w:spacing w:line="240" w:lineRule="auto"/>
              <w:ind w:left="360" w:right="-3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協助成員鞏固支持系統。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30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暖身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0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我的未來不是夢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0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送給自己的一封信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0"/>
              </w:numPr>
              <w:spacing w:line="240" w:lineRule="auto"/>
              <w:ind w:left="425" w:right="-18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團體回饋與總結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8"/>
              </w:numPr>
              <w:spacing w:line="240" w:lineRule="auto"/>
              <w:ind w:left="425" w:right="-106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社會支持理論：工具性支持</w:t>
            </w:r>
          </w:p>
          <w:p w:rsidR="00371D7D" w:rsidRPr="0002797E" w:rsidRDefault="00371D7D" w:rsidP="0002797E">
            <w:pPr>
              <w:widowControl w:val="0"/>
              <w:spacing w:line="240" w:lineRule="auto"/>
              <w:ind w:right="-41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1D7D" w:rsidRPr="0002797E"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第六單元</w:t>
            </w:r>
          </w:p>
          <w:p w:rsidR="00371D7D" w:rsidRPr="0002797E" w:rsidRDefault="00D150A9" w:rsidP="00530B5C">
            <w:pPr>
              <w:widowControl w:val="0"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新的旅程</w:t>
            </w:r>
          </w:p>
        </w:tc>
        <w:tc>
          <w:tcPr>
            <w:tcW w:w="3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530B5C">
            <w:pPr>
              <w:widowControl w:val="0"/>
              <w:numPr>
                <w:ilvl w:val="0"/>
                <w:numId w:val="32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協助成員檢視是否有把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壓方式融入生活中。</w:t>
            </w:r>
          </w:p>
          <w:p w:rsidR="00371D7D" w:rsidRPr="0002797E" w:rsidRDefault="00D150A9" w:rsidP="00530B5C">
            <w:pPr>
              <w:widowControl w:val="0"/>
              <w:numPr>
                <w:ilvl w:val="0"/>
                <w:numId w:val="32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協助成員回顧與統整團體經驗。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32"/>
              </w:numPr>
              <w:spacing w:line="240" w:lineRule="auto"/>
              <w:ind w:left="425" w:right="-10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協助成員妥善結束關係，互相給予回饋與祝福。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numPr>
                <w:ilvl w:val="0"/>
                <w:numId w:val="23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暖身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3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檢視</w:t>
            </w:r>
            <w:proofErr w:type="gramStart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紓</w:t>
            </w:r>
            <w:proofErr w:type="gramEnd"/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壓成果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3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回顧團體內容</w:t>
            </w:r>
          </w:p>
          <w:p w:rsidR="00371D7D" w:rsidRPr="0002797E" w:rsidRDefault="00D150A9" w:rsidP="0002797E">
            <w:pPr>
              <w:widowControl w:val="0"/>
              <w:numPr>
                <w:ilvl w:val="0"/>
                <w:numId w:val="23"/>
              </w:numPr>
              <w:spacing w:line="240" w:lineRule="auto"/>
              <w:ind w:left="425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傳遞希望</w:t>
            </w:r>
          </w:p>
        </w:tc>
        <w:tc>
          <w:tcPr>
            <w:tcW w:w="26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D7D" w:rsidRPr="0002797E" w:rsidRDefault="00D150A9" w:rsidP="0002797E">
            <w:pPr>
              <w:widowControl w:val="0"/>
              <w:spacing w:line="240" w:lineRule="auto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797E">
              <w:rPr>
                <w:rFonts w:asciiTheme="majorEastAsia" w:eastAsiaTheme="majorEastAsia" w:hAnsiTheme="majorEastAsia" w:cs="Arial Unicode MS"/>
                <w:sz w:val="24"/>
                <w:szCs w:val="24"/>
              </w:rPr>
              <w:t>無</w:t>
            </w:r>
          </w:p>
        </w:tc>
      </w:tr>
    </w:tbl>
    <w:p w:rsidR="00371D7D" w:rsidRDefault="00371D7D" w:rsidP="0002797E">
      <w:pPr>
        <w:jc w:val="both"/>
        <w:rPr>
          <w:rFonts w:asciiTheme="majorEastAsia" w:eastAsiaTheme="majorEastAsia" w:hAnsiTheme="majorEastAsia" w:hint="eastAsia"/>
          <w:sz w:val="24"/>
          <w:szCs w:val="24"/>
        </w:rPr>
      </w:pPr>
    </w:p>
    <w:p w:rsidR="00530B5C" w:rsidRPr="0002797E" w:rsidRDefault="00530B5C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（四）研究工具</w:t>
      </w:r>
    </w:p>
    <w:p w:rsidR="00371D7D" w:rsidRPr="0002797E" w:rsidRDefault="00D150A9" w:rsidP="0002797E">
      <w:pPr>
        <w:spacing w:line="264" w:lineRule="auto"/>
        <w:ind w:left="28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   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為評估團體成效，本研究以團體動力、療效因子評估團體歷程，並採用團體期待檢核表、焦慮量表（於團體前、後進行施測）、成員回饋表等方式分析親職支持團體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對脆家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家長有何成效，並將成員出席、團體參與狀況、分享內容等觀察進行紀錄，評估成員參與團體前後的變化。</w:t>
      </w:r>
    </w:p>
    <w:p w:rsidR="00371D7D" w:rsidRPr="0002797E" w:rsidRDefault="00D150A9" w:rsidP="0002797E">
      <w:pPr>
        <w:numPr>
          <w:ilvl w:val="0"/>
          <w:numId w:val="12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歷程評量：</w:t>
      </w:r>
    </w:p>
    <w:p w:rsidR="00371D7D" w:rsidRPr="0002797E" w:rsidRDefault="00D150A9" w:rsidP="0002797E">
      <w:pPr>
        <w:numPr>
          <w:ilvl w:val="0"/>
          <w:numId w:val="25"/>
        </w:numPr>
        <w:spacing w:line="264" w:lineRule="auto"/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成員個人：包含「出席率」和「發言主動性」。</w:t>
      </w:r>
    </w:p>
    <w:p w:rsidR="00371D7D" w:rsidRPr="0002797E" w:rsidRDefault="00D150A9" w:rsidP="0002797E">
      <w:pPr>
        <w:numPr>
          <w:ilvl w:val="0"/>
          <w:numId w:val="25"/>
        </w:numPr>
        <w:spacing w:line="264" w:lineRule="auto"/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團體動力：依團體的前期、中期、後期分別分析「互動模式」。</w:t>
      </w:r>
    </w:p>
    <w:p w:rsidR="00371D7D" w:rsidRPr="0002797E" w:rsidRDefault="00D150A9" w:rsidP="0002797E">
      <w:pPr>
        <w:numPr>
          <w:ilvl w:val="0"/>
          <w:numId w:val="25"/>
        </w:numPr>
        <w:spacing w:line="264" w:lineRule="auto"/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療效因子：包含「灌注希望」、「普同感」、「團體凝聚力」、「情緒宣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洩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」、「傳遞資訊」。</w:t>
      </w:r>
    </w:p>
    <w:p w:rsidR="00371D7D" w:rsidRPr="0002797E" w:rsidRDefault="00D150A9" w:rsidP="0002797E">
      <w:pPr>
        <w:spacing w:line="264" w:lineRule="auto"/>
        <w:ind w:left="28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lastRenderedPageBreak/>
        <w:t xml:space="preserve">  2.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成效評量：</w:t>
      </w:r>
    </w:p>
    <w:p w:rsidR="00371D7D" w:rsidRPr="0002797E" w:rsidRDefault="00D150A9" w:rsidP="0002797E">
      <w:pPr>
        <w:numPr>
          <w:ilvl w:val="0"/>
          <w:numId w:val="2"/>
        </w:numPr>
        <w:spacing w:line="264" w:lineRule="auto"/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成員個別目標的達成狀況。</w:t>
      </w:r>
    </w:p>
    <w:p w:rsidR="00371D7D" w:rsidRPr="0002797E" w:rsidRDefault="00D150A9" w:rsidP="0002797E">
      <w:pPr>
        <w:numPr>
          <w:ilvl w:val="0"/>
          <w:numId w:val="2"/>
        </w:numPr>
        <w:spacing w:line="264" w:lineRule="auto"/>
        <w:ind w:left="1133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團體目標的達成狀況。</w:t>
      </w:r>
    </w:p>
    <w:p w:rsidR="00371D7D" w:rsidRPr="0002797E" w:rsidRDefault="00371D7D" w:rsidP="0002797E">
      <w:p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肆、研究結果</w:t>
      </w:r>
    </w:p>
    <w:p w:rsidR="00371D7D" w:rsidRPr="0002797E" w:rsidRDefault="00D150A9" w:rsidP="0002797E">
      <w:pPr>
        <w:ind w:left="720" w:hanging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（一）親職支持團體雖然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對脆家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家長具正面助益，但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因脆家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家長的活動經驗皆以單次或手做課程為主，親職支持團體的內容皆與過往不同，造成邀約上的困難。</w:t>
      </w:r>
    </w:p>
    <w:p w:rsidR="00371D7D" w:rsidRPr="0002797E" w:rsidRDefault="00D150A9" w:rsidP="0002797E">
      <w:pPr>
        <w:ind w:left="720" w:hanging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（二）成員雖有意願參與團體，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然脆家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由於經濟壓力以工作和孩子為優先，出席狀況不佳，研究者雖使用多種方式應變仍無法改善。例如：第一次團體結束後，有兩位成員因子女及工作等因素無法出席團體而流失，研究者雖已採用「請社工了解缺席原因」、「事前及當天提醒」、「多次調整團體時間」等方式仍未獲改善，最後僅剩下三位成員。</w:t>
      </w:r>
    </w:p>
    <w:p w:rsidR="00371D7D" w:rsidRPr="0002797E" w:rsidRDefault="00D150A9" w:rsidP="0002797E">
      <w:pPr>
        <w:ind w:left="720" w:hanging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（三）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除了因教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育程度薄弱對孩子教養感到無力，也因為須花較多時間在工作上，沒有太多心力和資源陪伴孩子。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顯示脆家家長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是面臨經濟壓力等多重困境的情況下形成教養困難。</w:t>
      </w:r>
    </w:p>
    <w:p w:rsidR="00371D7D" w:rsidRPr="0002797E" w:rsidRDefault="00D150A9" w:rsidP="0002797E">
      <w:pPr>
        <w:ind w:left="720" w:hanging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（四）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由於陷入困境，較難看見自己的優點及長處，但透過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成員間的支持與賦能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，能以另一個觀點看待自己。</w:t>
      </w:r>
    </w:p>
    <w:p w:rsidR="00371D7D" w:rsidRPr="0002797E" w:rsidRDefault="00D150A9" w:rsidP="0002797E">
      <w:pPr>
        <w:ind w:left="720" w:hanging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（五）透過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前後測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焦慮量表，兩位成員的焦慮程度從中度焦慮降到輕度焦慮，僅一位成員的焦慮程度不變。但從團體期待檢核表及成員回饋表可發現，此團體皆有達到壓力紓解及抒發情緒的效果，雖然成員的困境尚未解決，但更了解如何以正確有效的方式調適壓力。</w:t>
      </w:r>
    </w:p>
    <w:p w:rsidR="00371D7D" w:rsidRPr="00C7554B" w:rsidRDefault="00C7554B" w:rsidP="00C7554B">
      <w:pPr>
        <w:ind w:left="720" w:hanging="720"/>
        <w:jc w:val="both"/>
        <w:rPr>
          <w:rFonts w:asciiTheme="majorEastAsia" w:eastAsiaTheme="majorEastAsia" w:hAnsiTheme="majorEastAsia" w:cs="Arial Unicode MS"/>
          <w:sz w:val="24"/>
          <w:szCs w:val="24"/>
        </w:rPr>
      </w:pPr>
      <w:r>
        <w:rPr>
          <w:rFonts w:asciiTheme="majorEastAsia" w:eastAsiaTheme="majorEastAsia" w:hAnsiTheme="majorEastAsia" w:cs="Arial Unicode MS"/>
          <w:sz w:val="24"/>
          <w:szCs w:val="24"/>
        </w:rPr>
        <w:t>（</w:t>
      </w:r>
      <w:r>
        <w:rPr>
          <w:rFonts w:asciiTheme="majorEastAsia" w:eastAsiaTheme="majorEastAsia" w:hAnsiTheme="majorEastAsia" w:cs="Arial Unicode MS" w:hint="eastAsia"/>
          <w:sz w:val="24"/>
          <w:szCs w:val="24"/>
        </w:rPr>
        <w:t>六</w:t>
      </w:r>
      <w:r w:rsidR="00D150A9" w:rsidRPr="0002797E">
        <w:rPr>
          <w:rFonts w:asciiTheme="majorEastAsia" w:eastAsiaTheme="majorEastAsia" w:hAnsiTheme="majorEastAsia" w:cs="Arial Unicode MS"/>
          <w:sz w:val="24"/>
          <w:szCs w:val="24"/>
        </w:rPr>
        <w:t>）帶領團體時，若沒有</w:t>
      </w:r>
      <w:r w:rsidR="00D150A9" w:rsidRPr="0002797E">
        <w:rPr>
          <w:rFonts w:asciiTheme="majorEastAsia" w:eastAsiaTheme="majorEastAsia" w:hAnsiTheme="majorEastAsia" w:cs="Arial Unicode MS"/>
          <w:sz w:val="24"/>
          <w:szCs w:val="24"/>
        </w:rPr>
        <w:t>經常核對團體對成員的幫助及效果，</w:t>
      </w:r>
      <w:proofErr w:type="gramStart"/>
      <w:r w:rsidR="00D150A9" w:rsidRPr="0002797E">
        <w:rPr>
          <w:rFonts w:asciiTheme="majorEastAsia" w:eastAsiaTheme="majorEastAsia" w:hAnsiTheme="majorEastAsia" w:cs="Arial Unicode MS"/>
          <w:sz w:val="24"/>
          <w:szCs w:val="24"/>
        </w:rPr>
        <w:t>脆家家長</w:t>
      </w:r>
      <w:proofErr w:type="gramEnd"/>
      <w:r w:rsidR="00D150A9" w:rsidRPr="0002797E">
        <w:rPr>
          <w:rFonts w:asciiTheme="majorEastAsia" w:eastAsiaTheme="majorEastAsia" w:hAnsiTheme="majorEastAsia" w:cs="Arial Unicode MS"/>
          <w:sz w:val="24"/>
          <w:szCs w:val="24"/>
        </w:rPr>
        <w:t>容易因為外在因素選擇不出席當次的團體。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伍、結論與建議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（一）結論</w:t>
      </w:r>
    </w:p>
    <w:p w:rsidR="00371D7D" w:rsidRPr="0002797E" w:rsidRDefault="00D150A9" w:rsidP="0002797E">
      <w:pPr>
        <w:spacing w:line="240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   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如同成員回饋表所言，困境雖然尚未解決，但親職支持團體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提供脆家家長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舒緩壓力、學習調適壓力的機會，進而降低焦慮，透過其他成員的支持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與賦能看見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自己的優點。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由於脆家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家長多面臨經濟壓力、工作等實質困境，本團體次數有限，且部分成員未能每次都參與團體，依據本研究之經驗與成果，提供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家家長親職支持團體之實務研究者作為參考。</w:t>
      </w:r>
    </w:p>
    <w:p w:rsidR="00371D7D" w:rsidRPr="0002797E" w:rsidRDefault="00371D7D" w:rsidP="0002797E">
      <w:pPr>
        <w:spacing w:line="240" w:lineRule="auto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（二）建議</w:t>
      </w:r>
    </w:p>
    <w:p w:rsidR="00371D7D" w:rsidRPr="0002797E" w:rsidRDefault="00D150A9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針對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對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未來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脆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家家長親職團體設計之參考與建議如下：</w:t>
      </w:r>
    </w:p>
    <w:p w:rsidR="00371D7D" w:rsidRPr="0002797E" w:rsidRDefault="00D150A9" w:rsidP="0002797E">
      <w:pPr>
        <w:numPr>
          <w:ilvl w:val="0"/>
          <w:numId w:val="35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團體時間須考量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家長參加的可行性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   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此次團體的原訂開始日期剛好在「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111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年九合一選舉」前一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週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，由於機構服務的個案以脆弱家庭為主，脆家家長大部分會有經濟壓力、工作上的需求，機構服務的個案多數皆於選舉前一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週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跑去當臨時工無法參與團體，導致招募狀況不佳，導致團體延後一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週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才開始。然而，團體開始後，也因為遇到跨年連假被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lastRenderedPageBreak/>
        <w:t>迫暫停一次，建議之後若再舉辦家長支持團體，可先多方評估日期及時間後再行決定，避免舉辦後但無人到場的狀況。</w:t>
      </w:r>
    </w:p>
    <w:p w:rsidR="00371D7D" w:rsidRPr="0002797E" w:rsidRDefault="00371D7D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numPr>
          <w:ilvl w:val="0"/>
          <w:numId w:val="35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團體內容需考量是否貼近成員狀態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   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設計團體內容時，需要思考此團體內容是否適合成員，並隨時依照成員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狀態做調整。例如：團體後期設計很多書寫的活動，但有成員反應自己的字很醜，不太想書寫，擔心被評價，領導者除了接住成員及回應他的擔心外，也可以思考是否有其他方式但仍可達到相同效果。</w:t>
      </w:r>
    </w:p>
    <w:p w:rsidR="00371D7D" w:rsidRPr="0002797E" w:rsidRDefault="00371D7D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numPr>
          <w:ilvl w:val="0"/>
          <w:numId w:val="35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正式提供服務前，應先和家長建立融洽關係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   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工作前期要先和家長建立關係，以提升家長的參與意願，並以「互動式」而非「說教式」的方法，避免淪於想要辯贏對方的處境，或讓他們感覺到被輕視、自己對生活是無能的。</w:t>
      </w:r>
    </w:p>
    <w:p w:rsidR="00371D7D" w:rsidRPr="0002797E" w:rsidRDefault="00371D7D" w:rsidP="0002797E">
      <w:p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numPr>
          <w:ilvl w:val="0"/>
          <w:numId w:val="35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隨時確認內容對家長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來說是有效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的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   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家長的時間有限，若無法對症下藥、讓家長心有所感，可能會如隔靴搔癢般無法直接讓家長感受到參與的好處，故隨時確認家長的回饋並即時修正和回應，是很重要的。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/>
        </w:rPr>
        <w:br w:type="page"/>
      </w:r>
    </w:p>
    <w:p w:rsidR="00371D7D" w:rsidRPr="0002797E" w:rsidRDefault="00D150A9" w:rsidP="0002797E">
      <w:pPr>
        <w:spacing w:line="264" w:lineRule="auto"/>
        <w:jc w:val="both"/>
        <w:rPr>
          <w:rFonts w:asciiTheme="majorEastAsia" w:eastAsiaTheme="majorEastAsia" w:hAnsiTheme="majorEastAsia"/>
          <w:b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lastRenderedPageBreak/>
        <w:t>參考文獻</w:t>
      </w:r>
    </w:p>
    <w:p w:rsidR="00371D7D" w:rsidRPr="0002797E" w:rsidRDefault="00D150A9" w:rsidP="0002797E">
      <w:pPr>
        <w:spacing w:line="264" w:lineRule="auto"/>
        <w:jc w:val="both"/>
        <w:rPr>
          <w:rFonts w:asciiTheme="majorEastAsia" w:eastAsiaTheme="majorEastAsia" w:hAnsiTheme="majorEastAsia"/>
          <w:b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中文部分</w:t>
      </w:r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黃寶園（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2010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）。社會支持在壓力反應歷程中的中介效果。</w:t>
      </w: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中華心理衛生學刊，</w:t>
      </w: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23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3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401-436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</w:t>
      </w:r>
      <w:r w:rsidRPr="0002797E">
        <w:rPr>
          <w:rFonts w:asciiTheme="majorEastAsia" w:eastAsiaTheme="majorEastAsia" w:hAnsiTheme="majorEastAsia"/>
        </w:rPr>
        <w:fldChar w:fldCharType="begin"/>
      </w:r>
      <w:r w:rsidRPr="0002797E">
        <w:rPr>
          <w:rFonts w:asciiTheme="majorEastAsia" w:eastAsiaTheme="majorEastAsia" w:hAnsiTheme="majorEastAsia"/>
        </w:rPr>
        <w:instrText xml:space="preserve"> HYPERLINK "http://dx.doi.org/10.30074/FJMH.201009_23(3).0003" \h </w:instrText>
      </w:r>
      <w:r w:rsidRPr="0002797E">
        <w:rPr>
          <w:rFonts w:asciiTheme="majorEastAsia" w:eastAsiaTheme="majorEastAsia" w:hAnsiTheme="majorEastAsia"/>
        </w:rPr>
        <w:fldChar w:fldCharType="separate"/>
      </w:r>
      <w:r w:rsidRPr="0002797E">
        <w:rPr>
          <w:rFonts w:asciiTheme="majorEastAsia" w:eastAsiaTheme="majorEastAsia" w:hAnsiTheme="majorEastAsia"/>
          <w:color w:val="1155CC"/>
          <w:sz w:val="24"/>
          <w:szCs w:val="24"/>
          <w:u w:val="single"/>
        </w:rPr>
        <w:t>http://dx.doi.org/10.30074/FJMH.201009_23(3).0003</w:t>
      </w:r>
      <w:r w:rsidRPr="0002797E">
        <w:rPr>
          <w:rFonts w:asciiTheme="majorEastAsia" w:eastAsiaTheme="majorEastAsia" w:hAnsiTheme="majorEastAsia"/>
          <w:color w:val="1155CC"/>
          <w:sz w:val="24"/>
          <w:szCs w:val="24"/>
          <w:u w:val="single"/>
        </w:rPr>
        <w:fldChar w:fldCharType="end"/>
      </w:r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吳鄭善明（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2015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）。失智症長者主要照顧者心路歷程之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研究－以社會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支持論分析。</w:t>
      </w: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美和學報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34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），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 85-110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</w:t>
      </w:r>
      <w:r w:rsidRPr="0002797E">
        <w:rPr>
          <w:rFonts w:asciiTheme="majorEastAsia" w:eastAsiaTheme="majorEastAsia" w:hAnsiTheme="majorEastAsia"/>
        </w:rPr>
        <w:fldChar w:fldCharType="begin"/>
      </w:r>
      <w:r w:rsidRPr="0002797E">
        <w:rPr>
          <w:rFonts w:asciiTheme="majorEastAsia" w:eastAsiaTheme="majorEastAsia" w:hAnsiTheme="majorEastAsia"/>
        </w:rPr>
        <w:instrText xml:space="preserve"> HYPERLINK "https://reurl.cc/06OdWx" \h </w:instrText>
      </w:r>
      <w:r w:rsidRPr="0002797E">
        <w:rPr>
          <w:rFonts w:asciiTheme="majorEastAsia" w:eastAsiaTheme="majorEastAsia" w:hAnsiTheme="majorEastAsia"/>
        </w:rPr>
        <w:fldChar w:fldCharType="separate"/>
      </w:r>
      <w:r w:rsidRPr="0002797E">
        <w:rPr>
          <w:rFonts w:asciiTheme="majorEastAsia" w:eastAsiaTheme="majorEastAsia" w:hAnsiTheme="majorEastAsia"/>
          <w:color w:val="1155CC"/>
          <w:sz w:val="24"/>
          <w:szCs w:val="24"/>
          <w:u w:val="single"/>
        </w:rPr>
        <w:t>https://reurl.cc/06OdWx</w:t>
      </w:r>
      <w:r w:rsidRPr="0002797E">
        <w:rPr>
          <w:rFonts w:asciiTheme="majorEastAsia" w:eastAsiaTheme="majorEastAsia" w:hAnsiTheme="majorEastAsia"/>
          <w:color w:val="1155CC"/>
          <w:sz w:val="24"/>
          <w:szCs w:val="24"/>
          <w:u w:val="single"/>
        </w:rPr>
        <w:fldChar w:fldCharType="end"/>
      </w:r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Sarafino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, E. P.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著，蕭仁釗、林耀盛、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鄭逸如譯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(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1994/1997)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。《健康心理學》。桂冠。</w:t>
      </w:r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林嘉凌（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2009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</w:t>
      </w: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照顧服務員社會支持與生活品質</w:t>
      </w:r>
      <w:proofErr w:type="gramStart"/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一</w:t>
      </w:r>
      <w:proofErr w:type="gramEnd"/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中部某復</w:t>
      </w: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健病房為例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未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出版之碩士論文</w:t>
      </w:r>
      <w:proofErr w:type="gram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</w:t>
      </w:r>
      <w:proofErr w:type="gram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>。亞洲大學。</w:t>
      </w:r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衛生福利部（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2018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）。強化社會安全網計畫核定本公告，網址：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hyperlink r:id="rId6">
        <w:r w:rsidRPr="0002797E">
          <w:rPr>
            <w:rFonts w:asciiTheme="majorEastAsia" w:eastAsiaTheme="majorEastAsia" w:hAnsiTheme="majorEastAsia"/>
            <w:color w:val="1155CC"/>
            <w:sz w:val="24"/>
            <w:szCs w:val="24"/>
            <w:u w:val="single"/>
          </w:rPr>
          <w:t>https://www.mohw.gov.tw/cp-3763-40093-1.html</w:t>
        </w:r>
      </w:hyperlink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衛生福利部（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2018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），衛生福利部社會福利服務中心辦理脆弱家庭服務指標、工作流程及表單，網址：</w:t>
      </w:r>
      <w:r w:rsidRPr="0002797E">
        <w:rPr>
          <w:rFonts w:asciiTheme="majorEastAsia" w:eastAsiaTheme="majorEastAsia" w:hAnsiTheme="majorEastAsia"/>
        </w:rPr>
        <w:fldChar w:fldCharType="begin"/>
      </w:r>
      <w:r w:rsidRPr="0002797E">
        <w:rPr>
          <w:rFonts w:asciiTheme="majorEastAsia" w:eastAsiaTheme="majorEastAsia" w:hAnsiTheme="majorEastAsia"/>
        </w:rPr>
        <w:instrText xml:space="preserve"> HYPERLINK "http://a31.ntct.edu.tw/files/16-</w:instrText>
      </w:r>
      <w:r w:rsidRPr="0002797E">
        <w:rPr>
          <w:rFonts w:asciiTheme="majorEastAsia" w:eastAsiaTheme="majorEastAsia" w:hAnsiTheme="majorEastAsia"/>
        </w:rPr>
        <w:instrText xml:space="preserve">1031-241370.php" \h </w:instrText>
      </w:r>
      <w:r w:rsidRPr="0002797E">
        <w:rPr>
          <w:rFonts w:asciiTheme="majorEastAsia" w:eastAsiaTheme="majorEastAsia" w:hAnsiTheme="majorEastAsia"/>
        </w:rPr>
        <w:fldChar w:fldCharType="separate"/>
      </w:r>
      <w:r w:rsidRPr="0002797E">
        <w:rPr>
          <w:rFonts w:asciiTheme="majorEastAsia" w:eastAsiaTheme="majorEastAsia" w:hAnsiTheme="majorEastAsia"/>
          <w:color w:val="1155CC"/>
          <w:sz w:val="24"/>
          <w:szCs w:val="24"/>
          <w:u w:val="single"/>
        </w:rPr>
        <w:t>http://a31.ntct.edu.tw/files/16-1031-241370.php</w:t>
      </w:r>
      <w:r w:rsidRPr="0002797E">
        <w:rPr>
          <w:rFonts w:asciiTheme="majorEastAsia" w:eastAsiaTheme="majorEastAsia" w:hAnsiTheme="majorEastAsia"/>
          <w:color w:val="1155CC"/>
          <w:sz w:val="24"/>
          <w:szCs w:val="24"/>
          <w:u w:val="single"/>
        </w:rPr>
        <w:fldChar w:fldCharType="end"/>
      </w:r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衛生福利部（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2020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）。脆弱家庭需求面向與脆弱性因子辨識指標，網址：</w:t>
      </w:r>
    </w:p>
    <w:p w:rsidR="00371D7D" w:rsidRPr="0002797E" w:rsidRDefault="00D150A9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hyperlink r:id="rId7">
        <w:r w:rsidRPr="0002797E">
          <w:rPr>
            <w:rFonts w:asciiTheme="majorEastAsia" w:eastAsiaTheme="majorEastAsia" w:hAnsiTheme="majorEastAsia"/>
            <w:color w:val="1155CC"/>
            <w:sz w:val="24"/>
            <w:szCs w:val="24"/>
            <w:u w:val="single"/>
          </w:rPr>
          <w:t>https://topics.mohw.gov.tw/SS/cp-4531-50117-204.html</w:t>
        </w:r>
      </w:hyperlink>
    </w:p>
    <w:p w:rsidR="00371D7D" w:rsidRPr="0002797E" w:rsidRDefault="00D150A9" w:rsidP="0002797E">
      <w:pPr>
        <w:numPr>
          <w:ilvl w:val="0"/>
          <w:numId w:val="28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>衛生福利部（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2021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），強化社會安全網第二期計畫核定本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，網址：</w:t>
      </w:r>
    </w:p>
    <w:p w:rsidR="00371D7D" w:rsidRPr="00D150A9" w:rsidRDefault="00D150A9" w:rsidP="00D150A9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  <w:hyperlink r:id="rId8">
        <w:r w:rsidRPr="0002797E">
          <w:rPr>
            <w:rFonts w:asciiTheme="majorEastAsia" w:eastAsiaTheme="majorEastAsia" w:hAnsiTheme="majorEastAsia"/>
            <w:color w:val="1155CC"/>
            <w:sz w:val="24"/>
            <w:szCs w:val="24"/>
            <w:u w:val="single"/>
          </w:rPr>
          <w:t>https://topics.mohw.gov.tw/SS/cp-4515-62472-204.html</w:t>
        </w:r>
      </w:hyperlink>
      <w:bookmarkStart w:id="0" w:name="_GoBack"/>
      <w:bookmarkEnd w:id="0"/>
    </w:p>
    <w:p w:rsidR="00371D7D" w:rsidRPr="0002797E" w:rsidRDefault="00371D7D" w:rsidP="0002797E">
      <w:pPr>
        <w:spacing w:line="264" w:lineRule="auto"/>
        <w:ind w:left="720"/>
        <w:jc w:val="both"/>
        <w:rPr>
          <w:rFonts w:asciiTheme="majorEastAsia" w:eastAsiaTheme="majorEastAsia" w:hAnsiTheme="majorEastAsia"/>
          <w:sz w:val="24"/>
          <w:szCs w:val="24"/>
        </w:rPr>
      </w:pPr>
    </w:p>
    <w:p w:rsidR="00371D7D" w:rsidRPr="0002797E" w:rsidRDefault="00D150A9" w:rsidP="0002797E">
      <w:pPr>
        <w:spacing w:line="264" w:lineRule="auto"/>
        <w:jc w:val="both"/>
        <w:rPr>
          <w:rFonts w:asciiTheme="majorEastAsia" w:eastAsiaTheme="majorEastAsia" w:hAnsiTheme="majorEastAsia"/>
          <w:b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b/>
          <w:sz w:val="24"/>
          <w:szCs w:val="24"/>
        </w:rPr>
        <w:t>英文部分</w:t>
      </w:r>
    </w:p>
    <w:p w:rsidR="00371D7D" w:rsidRPr="0002797E" w:rsidRDefault="00D150A9" w:rsidP="0002797E">
      <w:pPr>
        <w:numPr>
          <w:ilvl w:val="0"/>
          <w:numId w:val="3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/>
          <w:sz w:val="24"/>
          <w:szCs w:val="24"/>
        </w:rPr>
        <w:t xml:space="preserve">Curtis, A. J. (2000). </w:t>
      </w:r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Health psychology</w:t>
      </w:r>
      <w:r w:rsidRPr="0002797E">
        <w:rPr>
          <w:rFonts w:asciiTheme="majorEastAsia" w:eastAsiaTheme="majorEastAsia" w:hAnsiTheme="majorEastAsia"/>
          <w:sz w:val="24"/>
          <w:szCs w:val="24"/>
        </w:rPr>
        <w:t xml:space="preserve">. Boston: </w:t>
      </w:r>
      <w:proofErr w:type="spellStart"/>
      <w:r w:rsidRPr="0002797E">
        <w:rPr>
          <w:rFonts w:asciiTheme="majorEastAsia" w:eastAsiaTheme="majorEastAsia" w:hAnsiTheme="majorEastAsia"/>
          <w:sz w:val="24"/>
          <w:szCs w:val="24"/>
        </w:rPr>
        <w:t>Routledge</w:t>
      </w:r>
      <w:proofErr w:type="spellEnd"/>
      <w:r w:rsidRPr="0002797E">
        <w:rPr>
          <w:rFonts w:asciiTheme="majorEastAsia" w:eastAsiaTheme="majorEastAsia" w:hAnsiTheme="majorEastAsia"/>
          <w:sz w:val="24"/>
          <w:szCs w:val="24"/>
        </w:rPr>
        <w:t>.</w:t>
      </w:r>
    </w:p>
    <w:p w:rsidR="00371D7D" w:rsidRPr="0002797E" w:rsidRDefault="00D150A9" w:rsidP="0002797E">
      <w:pPr>
        <w:numPr>
          <w:ilvl w:val="0"/>
          <w:numId w:val="3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/>
          <w:sz w:val="24"/>
          <w:szCs w:val="24"/>
        </w:rPr>
        <w:t xml:space="preserve">Taylor, S. E. (1999). </w:t>
      </w:r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Health psychology</w:t>
      </w:r>
      <w:r w:rsidRPr="0002797E">
        <w:rPr>
          <w:rFonts w:asciiTheme="majorEastAsia" w:eastAsiaTheme="majorEastAsia" w:hAnsiTheme="majorEastAsia"/>
          <w:sz w:val="24"/>
          <w:szCs w:val="24"/>
        </w:rPr>
        <w:t>. Boston: McGraw-Hil</w:t>
      </w:r>
      <w:r w:rsidRPr="0002797E">
        <w:rPr>
          <w:rFonts w:asciiTheme="majorEastAsia" w:eastAsiaTheme="majorEastAsia" w:hAnsiTheme="majorEastAsia"/>
          <w:sz w:val="24"/>
          <w:szCs w:val="24"/>
        </w:rPr>
        <w:t>l.</w:t>
      </w:r>
    </w:p>
    <w:p w:rsidR="00371D7D" w:rsidRPr="0002797E" w:rsidRDefault="00D150A9" w:rsidP="0002797E">
      <w:pPr>
        <w:numPr>
          <w:ilvl w:val="0"/>
          <w:numId w:val="3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/>
          <w:sz w:val="24"/>
          <w:szCs w:val="24"/>
        </w:rPr>
        <w:t xml:space="preserve">Brannon, L., &amp; </w:t>
      </w:r>
      <w:proofErr w:type="spellStart"/>
      <w:r w:rsidRPr="0002797E">
        <w:rPr>
          <w:rFonts w:asciiTheme="majorEastAsia" w:eastAsiaTheme="majorEastAsia" w:hAnsiTheme="majorEastAsia"/>
          <w:sz w:val="24"/>
          <w:szCs w:val="24"/>
        </w:rPr>
        <w:t>Feist</w:t>
      </w:r>
      <w:proofErr w:type="spellEnd"/>
      <w:r w:rsidRPr="0002797E">
        <w:rPr>
          <w:rFonts w:asciiTheme="majorEastAsia" w:eastAsiaTheme="majorEastAsia" w:hAnsiTheme="majorEastAsia"/>
          <w:sz w:val="24"/>
          <w:szCs w:val="24"/>
        </w:rPr>
        <w:t xml:space="preserve">, J. (2000). </w:t>
      </w:r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 xml:space="preserve">Health psychology: An introduction to behavior and </w:t>
      </w:r>
      <w:proofErr w:type="gramStart"/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health</w:t>
      </w:r>
      <w:r w:rsidRPr="0002797E">
        <w:rPr>
          <w:rFonts w:asciiTheme="majorEastAsia" w:eastAsiaTheme="majorEastAsia" w:hAnsiTheme="majorEastAsia"/>
          <w:sz w:val="24"/>
          <w:szCs w:val="24"/>
        </w:rPr>
        <w:t>(</w:t>
      </w:r>
      <w:proofErr w:type="gramEnd"/>
      <w:r w:rsidRPr="0002797E">
        <w:rPr>
          <w:rFonts w:asciiTheme="majorEastAsia" w:eastAsiaTheme="majorEastAsia" w:hAnsiTheme="majorEastAsia"/>
          <w:sz w:val="24"/>
          <w:szCs w:val="24"/>
        </w:rPr>
        <w:t>4th ed.). Pacific Grove: Brooks/Cole.</w:t>
      </w:r>
    </w:p>
    <w:p w:rsidR="00371D7D" w:rsidRPr="0002797E" w:rsidRDefault="00D150A9" w:rsidP="0002797E">
      <w:pPr>
        <w:numPr>
          <w:ilvl w:val="0"/>
          <w:numId w:val="3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Brown, G. W.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. Meaning, measurement and stress of life events. </w:t>
      </w:r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Stressful life events: Their nature and effects</w:t>
      </w:r>
      <w:r w:rsidRPr="0002797E">
        <w:rPr>
          <w:rFonts w:asciiTheme="majorEastAsia" w:eastAsiaTheme="majorEastAsia" w:hAnsiTheme="majorEastAsia"/>
          <w:sz w:val="24"/>
          <w:szCs w:val="24"/>
        </w:rPr>
        <w:t>, 313-332. New York: John Wily &amp; Sons.</w:t>
      </w:r>
    </w:p>
    <w:p w:rsidR="00371D7D" w:rsidRPr="0002797E" w:rsidRDefault="00D150A9" w:rsidP="0002797E">
      <w:pPr>
        <w:numPr>
          <w:ilvl w:val="0"/>
          <w:numId w:val="3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02797E">
        <w:rPr>
          <w:rFonts w:asciiTheme="majorEastAsia" w:eastAsiaTheme="majorEastAsia" w:hAnsiTheme="majorEastAsia" w:cs="Arial Unicode MS"/>
          <w:sz w:val="24"/>
          <w:szCs w:val="24"/>
        </w:rPr>
        <w:t>Caplan</w:t>
      </w:r>
      <w:proofErr w:type="spellEnd"/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, G. 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（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1974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>）</w:t>
      </w:r>
      <w:r w:rsidRPr="0002797E">
        <w:rPr>
          <w:rFonts w:asciiTheme="majorEastAsia" w:eastAsiaTheme="majorEastAsia" w:hAnsiTheme="majorEastAsia" w:cs="Arial Unicode MS"/>
          <w:sz w:val="24"/>
          <w:szCs w:val="24"/>
        </w:rPr>
        <w:t xml:space="preserve">. </w:t>
      </w:r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Support systems and community mental health: Lectures on concept development</w:t>
      </w:r>
      <w:r w:rsidRPr="0002797E">
        <w:rPr>
          <w:rFonts w:asciiTheme="majorEastAsia" w:eastAsiaTheme="majorEastAsia" w:hAnsiTheme="majorEastAsia"/>
          <w:sz w:val="24"/>
          <w:szCs w:val="24"/>
        </w:rPr>
        <w:t>. New York: Behavioral Publications.</w:t>
      </w:r>
    </w:p>
    <w:p w:rsidR="00371D7D" w:rsidRPr="0002797E" w:rsidRDefault="00D150A9" w:rsidP="0002797E">
      <w:pPr>
        <w:numPr>
          <w:ilvl w:val="0"/>
          <w:numId w:val="3"/>
        </w:numPr>
        <w:spacing w:line="264" w:lineRule="auto"/>
        <w:jc w:val="both"/>
        <w:rPr>
          <w:rFonts w:asciiTheme="majorEastAsia" w:eastAsiaTheme="majorEastAsia" w:hAnsiTheme="majorEastAsia"/>
          <w:sz w:val="24"/>
          <w:szCs w:val="24"/>
        </w:rPr>
      </w:pPr>
      <w:r w:rsidRPr="0002797E">
        <w:rPr>
          <w:rFonts w:asciiTheme="majorEastAsia" w:eastAsiaTheme="majorEastAsia" w:hAnsiTheme="majorEastAsia"/>
          <w:sz w:val="24"/>
          <w:szCs w:val="24"/>
        </w:rPr>
        <w:t xml:space="preserve">Moran, P., </w:t>
      </w:r>
      <w:proofErr w:type="spellStart"/>
      <w:r w:rsidRPr="0002797E">
        <w:rPr>
          <w:rFonts w:asciiTheme="majorEastAsia" w:eastAsiaTheme="majorEastAsia" w:hAnsiTheme="majorEastAsia"/>
          <w:sz w:val="24"/>
          <w:szCs w:val="24"/>
        </w:rPr>
        <w:t>Ghate</w:t>
      </w:r>
      <w:proofErr w:type="spellEnd"/>
      <w:r w:rsidRPr="0002797E">
        <w:rPr>
          <w:rFonts w:asciiTheme="majorEastAsia" w:eastAsiaTheme="majorEastAsia" w:hAnsiTheme="majorEastAsia"/>
          <w:sz w:val="24"/>
          <w:szCs w:val="24"/>
        </w:rPr>
        <w:t xml:space="preserve">, D., &amp; Van Der </w:t>
      </w:r>
      <w:proofErr w:type="spellStart"/>
      <w:r w:rsidRPr="0002797E">
        <w:rPr>
          <w:rFonts w:asciiTheme="majorEastAsia" w:eastAsiaTheme="majorEastAsia" w:hAnsiTheme="majorEastAsia"/>
          <w:sz w:val="24"/>
          <w:szCs w:val="24"/>
        </w:rPr>
        <w:t>Merwe</w:t>
      </w:r>
      <w:proofErr w:type="spellEnd"/>
      <w:r w:rsidRPr="0002797E">
        <w:rPr>
          <w:rFonts w:asciiTheme="majorEastAsia" w:eastAsiaTheme="majorEastAsia" w:hAnsiTheme="majorEastAsia"/>
          <w:sz w:val="24"/>
          <w:szCs w:val="24"/>
        </w:rPr>
        <w:t xml:space="preserve">, A. (2004). </w:t>
      </w:r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What works in parenting support</w:t>
      </w:r>
      <w:proofErr w:type="gramStart"/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>?:</w:t>
      </w:r>
      <w:proofErr w:type="gramEnd"/>
      <w:r w:rsidRPr="0002797E">
        <w:rPr>
          <w:rFonts w:asciiTheme="majorEastAsia" w:eastAsiaTheme="majorEastAsia" w:hAnsiTheme="majorEastAsia"/>
          <w:b/>
          <w:i/>
          <w:sz w:val="24"/>
          <w:szCs w:val="24"/>
        </w:rPr>
        <w:t xml:space="preserve"> a review of the international evidence</w:t>
      </w:r>
      <w:r w:rsidRPr="0002797E">
        <w:rPr>
          <w:rFonts w:asciiTheme="majorEastAsia" w:eastAsiaTheme="majorEastAsia" w:hAnsiTheme="majorEastAsia"/>
          <w:sz w:val="24"/>
          <w:szCs w:val="24"/>
        </w:rPr>
        <w:t>. London: Department for Education and Skills.</w:t>
      </w:r>
    </w:p>
    <w:p w:rsidR="00371D7D" w:rsidRPr="0002797E" w:rsidRDefault="00371D7D" w:rsidP="000279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sectPr w:rsidR="00371D7D" w:rsidRPr="000279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B9C"/>
    <w:multiLevelType w:val="multilevel"/>
    <w:tmpl w:val="C2C0D1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76590D"/>
    <w:multiLevelType w:val="multilevel"/>
    <w:tmpl w:val="1CE86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B129C5"/>
    <w:multiLevelType w:val="multilevel"/>
    <w:tmpl w:val="257A4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4776094"/>
    <w:multiLevelType w:val="multilevel"/>
    <w:tmpl w:val="9B8CCF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92673E4"/>
    <w:multiLevelType w:val="multilevel"/>
    <w:tmpl w:val="A384AF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FCB6760"/>
    <w:multiLevelType w:val="multilevel"/>
    <w:tmpl w:val="365CD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1AC741B"/>
    <w:multiLevelType w:val="multilevel"/>
    <w:tmpl w:val="09901D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4E80F79"/>
    <w:multiLevelType w:val="multilevel"/>
    <w:tmpl w:val="AB0EAF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7FD5644"/>
    <w:multiLevelType w:val="multilevel"/>
    <w:tmpl w:val="71867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8D35F2A"/>
    <w:multiLevelType w:val="multilevel"/>
    <w:tmpl w:val="0FAC8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AB100B4"/>
    <w:multiLevelType w:val="multilevel"/>
    <w:tmpl w:val="642E971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EFE13A8"/>
    <w:multiLevelType w:val="multilevel"/>
    <w:tmpl w:val="9B0A6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04800C3"/>
    <w:multiLevelType w:val="multilevel"/>
    <w:tmpl w:val="CCDEE7BC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31542E74"/>
    <w:multiLevelType w:val="multilevel"/>
    <w:tmpl w:val="91948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3A2790F"/>
    <w:multiLevelType w:val="multilevel"/>
    <w:tmpl w:val="1A5EDAB4"/>
    <w:lvl w:ilvl="0">
      <w:start w:val="1"/>
      <w:numFmt w:val="decimal"/>
      <w:lvlText w:val="%1."/>
      <w:lvlJc w:val="left"/>
      <w:pPr>
        <w:ind w:left="4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73D4EDC"/>
    <w:multiLevelType w:val="multilevel"/>
    <w:tmpl w:val="4B6A9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F8A5F76"/>
    <w:multiLevelType w:val="multilevel"/>
    <w:tmpl w:val="DD9EB8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53D07E8"/>
    <w:multiLevelType w:val="multilevel"/>
    <w:tmpl w:val="02DAC7FC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nsid w:val="47681D32"/>
    <w:multiLevelType w:val="multilevel"/>
    <w:tmpl w:val="810AB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4CF64B1B"/>
    <w:multiLevelType w:val="multilevel"/>
    <w:tmpl w:val="2026B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0F471B1"/>
    <w:multiLevelType w:val="multilevel"/>
    <w:tmpl w:val="C24C8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3A353D4"/>
    <w:multiLevelType w:val="multilevel"/>
    <w:tmpl w:val="54F22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7F4007D"/>
    <w:multiLevelType w:val="multilevel"/>
    <w:tmpl w:val="D2B4F140"/>
    <w:lvl w:ilvl="0">
      <w:start w:val="1"/>
      <w:numFmt w:val="decimal"/>
      <w:lvlText w:val="%1."/>
      <w:lvlJc w:val="left"/>
      <w:pPr>
        <w:ind w:left="360" w:hanging="28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954479B"/>
    <w:multiLevelType w:val="multilevel"/>
    <w:tmpl w:val="B57CD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C155518"/>
    <w:multiLevelType w:val="multilevel"/>
    <w:tmpl w:val="6BF89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73A671E"/>
    <w:multiLevelType w:val="multilevel"/>
    <w:tmpl w:val="69A6A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8C21DCA"/>
    <w:multiLevelType w:val="multilevel"/>
    <w:tmpl w:val="2E48E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97D1C75"/>
    <w:multiLevelType w:val="multilevel"/>
    <w:tmpl w:val="E6DC3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BC40F30"/>
    <w:multiLevelType w:val="multilevel"/>
    <w:tmpl w:val="A2262B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04022C5"/>
    <w:multiLevelType w:val="multilevel"/>
    <w:tmpl w:val="35101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082751C"/>
    <w:multiLevelType w:val="multilevel"/>
    <w:tmpl w:val="2E2A7A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76E15DE3"/>
    <w:multiLevelType w:val="multilevel"/>
    <w:tmpl w:val="187A67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7844421"/>
    <w:multiLevelType w:val="multilevel"/>
    <w:tmpl w:val="C4A4393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A933F37"/>
    <w:multiLevelType w:val="multilevel"/>
    <w:tmpl w:val="A3AED17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7BDF73EA"/>
    <w:multiLevelType w:val="multilevel"/>
    <w:tmpl w:val="2EC45BB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0"/>
  </w:num>
  <w:num w:numId="3">
    <w:abstractNumId w:val="32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29"/>
  </w:num>
  <w:num w:numId="9">
    <w:abstractNumId w:val="20"/>
  </w:num>
  <w:num w:numId="10">
    <w:abstractNumId w:val="2"/>
  </w:num>
  <w:num w:numId="11">
    <w:abstractNumId w:val="31"/>
  </w:num>
  <w:num w:numId="12">
    <w:abstractNumId w:val="24"/>
  </w:num>
  <w:num w:numId="13">
    <w:abstractNumId w:val="0"/>
  </w:num>
  <w:num w:numId="14">
    <w:abstractNumId w:val="12"/>
  </w:num>
  <w:num w:numId="15">
    <w:abstractNumId w:val="27"/>
  </w:num>
  <w:num w:numId="16">
    <w:abstractNumId w:val="3"/>
  </w:num>
  <w:num w:numId="17">
    <w:abstractNumId w:val="28"/>
  </w:num>
  <w:num w:numId="18">
    <w:abstractNumId w:val="16"/>
  </w:num>
  <w:num w:numId="19">
    <w:abstractNumId w:val="6"/>
  </w:num>
  <w:num w:numId="20">
    <w:abstractNumId w:val="11"/>
  </w:num>
  <w:num w:numId="21">
    <w:abstractNumId w:val="18"/>
  </w:num>
  <w:num w:numId="22">
    <w:abstractNumId w:val="34"/>
  </w:num>
  <w:num w:numId="23">
    <w:abstractNumId w:val="25"/>
  </w:num>
  <w:num w:numId="24">
    <w:abstractNumId w:val="21"/>
  </w:num>
  <w:num w:numId="25">
    <w:abstractNumId w:val="17"/>
  </w:num>
  <w:num w:numId="26">
    <w:abstractNumId w:val="22"/>
  </w:num>
  <w:num w:numId="27">
    <w:abstractNumId w:val="30"/>
  </w:num>
  <w:num w:numId="28">
    <w:abstractNumId w:val="33"/>
  </w:num>
  <w:num w:numId="29">
    <w:abstractNumId w:val="8"/>
  </w:num>
  <w:num w:numId="30">
    <w:abstractNumId w:val="5"/>
  </w:num>
  <w:num w:numId="31">
    <w:abstractNumId w:val="7"/>
  </w:num>
  <w:num w:numId="32">
    <w:abstractNumId w:val="15"/>
  </w:num>
  <w:num w:numId="33">
    <w:abstractNumId w:val="26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71D7D"/>
    <w:rsid w:val="0002797E"/>
    <w:rsid w:val="002012C2"/>
    <w:rsid w:val="00371D7D"/>
    <w:rsid w:val="00530B5C"/>
    <w:rsid w:val="00C7554B"/>
    <w:rsid w:val="00D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ics.mohw.gov.tw/SS/cp-4515-62472-20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pics.mohw.gov.tw/SS/cp-4531-50117-2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hw.gov.tw/cp-3763-40093-1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2023-05-11T11:46:00Z</dcterms:created>
  <dcterms:modified xsi:type="dcterms:W3CDTF">2023-05-11T11:50:00Z</dcterms:modified>
</cp:coreProperties>
</file>