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203" w:rsidRPr="004D7DDF" w:rsidRDefault="006D4203" w:rsidP="00934337">
      <w:pPr>
        <w:widowControl/>
        <w:spacing w:before="100" w:beforeAutospacing="1" w:after="100" w:afterAutospacing="1"/>
        <w:jc w:val="center"/>
        <w:outlineLvl w:val="2"/>
        <w:rPr>
          <w:rFonts w:asciiTheme="minorEastAsia" w:hAnsiTheme="minorEastAsia" w:cs="新細明體"/>
          <w:b/>
          <w:kern w:val="0"/>
          <w:sz w:val="28"/>
          <w:szCs w:val="28"/>
        </w:rPr>
      </w:pPr>
      <w:r w:rsidRPr="004D7DDF">
        <w:rPr>
          <w:rFonts w:asciiTheme="minorEastAsia" w:hAnsiTheme="minorEastAsia" w:cs="新細明體"/>
          <w:b/>
          <w:bCs/>
          <w:kern w:val="0"/>
          <w:sz w:val="28"/>
          <w:szCs w:val="28"/>
        </w:rPr>
        <w:t>研究題目</w:t>
      </w:r>
      <w:r w:rsidR="005221C1" w:rsidRPr="004D7DDF">
        <w:rPr>
          <w:rFonts w:asciiTheme="minorEastAsia" w:hAnsiTheme="minorEastAsia" w:cs="新細明體" w:hint="eastAsia"/>
          <w:b/>
          <w:bCs/>
          <w:kern w:val="0"/>
          <w:sz w:val="28"/>
          <w:szCs w:val="28"/>
        </w:rPr>
        <w:t>:</w:t>
      </w:r>
      <w:proofErr w:type="gramStart"/>
      <w:r w:rsidRPr="004D7DDF">
        <w:rPr>
          <w:rFonts w:asciiTheme="minorEastAsia" w:hAnsiTheme="minorEastAsia" w:cs="新細明體"/>
          <w:b/>
          <w:kern w:val="0"/>
          <w:sz w:val="28"/>
          <w:szCs w:val="28"/>
        </w:rPr>
        <w:t>療心小站—</w:t>
      </w:r>
      <w:proofErr w:type="gramEnd"/>
      <w:r w:rsidR="005C07F7" w:rsidRPr="004D7DDF">
        <w:rPr>
          <w:rFonts w:asciiTheme="minorEastAsia" w:hAnsiTheme="minorEastAsia" w:cs="新細明體"/>
          <w:b/>
          <w:kern w:val="0"/>
          <w:sz w:val="28"/>
          <w:szCs w:val="28"/>
        </w:rPr>
        <w:t>自我探索團體</w:t>
      </w:r>
    </w:p>
    <w:p w:rsidR="000249F7" w:rsidRPr="00420307" w:rsidRDefault="000249F7" w:rsidP="006D4203">
      <w:pPr>
        <w:widowControl/>
        <w:spacing w:before="100" w:beforeAutospacing="1" w:after="100" w:afterAutospacing="1"/>
        <w:rPr>
          <w:rFonts w:asciiTheme="minorEastAsia" w:hAnsiTheme="minorEastAsia" w:cs="新細明體"/>
          <w:b/>
          <w:kern w:val="0"/>
          <w:szCs w:val="24"/>
        </w:rPr>
      </w:pPr>
      <w:r w:rsidRPr="00420307">
        <w:rPr>
          <w:rFonts w:asciiTheme="minorEastAsia" w:hAnsiTheme="minorEastAsia"/>
          <w:b/>
          <w:color w:val="151515"/>
          <w:szCs w:val="24"/>
          <w:shd w:val="clear" w:color="auto" w:fill="FFFFFF"/>
        </w:rPr>
        <w:t>論文摘要</w:t>
      </w:r>
    </w:p>
    <w:p w:rsidR="006D4203" w:rsidRPr="00420307" w:rsidRDefault="000249F7" w:rsidP="006D4203">
      <w:pPr>
        <w:widowControl/>
        <w:spacing w:before="100" w:beforeAutospacing="1" w:after="100" w:afterAutospacing="1"/>
        <w:outlineLvl w:val="2"/>
        <w:rPr>
          <w:rFonts w:asciiTheme="minorEastAsia" w:hAnsiTheme="minorEastAsia" w:cs="新細明體"/>
          <w:b/>
          <w:bCs/>
          <w:kern w:val="0"/>
          <w:szCs w:val="24"/>
        </w:rPr>
      </w:pPr>
      <w:r w:rsidRPr="00420307">
        <w:rPr>
          <w:rFonts w:asciiTheme="minorEastAsia" w:hAnsiTheme="minorEastAsia" w:cs="新細明體"/>
          <w:b/>
          <w:bCs/>
          <w:kern w:val="0"/>
          <w:szCs w:val="24"/>
        </w:rPr>
        <w:t>一、</w:t>
      </w:r>
      <w:r w:rsidR="006D4203" w:rsidRPr="00420307">
        <w:rPr>
          <w:rFonts w:asciiTheme="minorEastAsia" w:hAnsiTheme="minorEastAsia" w:cs="新細明體"/>
          <w:b/>
          <w:bCs/>
          <w:kern w:val="0"/>
          <w:szCs w:val="24"/>
        </w:rPr>
        <w:t>研究目的和目標</w:t>
      </w:r>
      <w:bookmarkStart w:id="0" w:name="_GoBack"/>
      <w:bookmarkEnd w:id="0"/>
    </w:p>
    <w:p w:rsidR="00197EED" w:rsidRPr="00420307" w:rsidRDefault="00197EED" w:rsidP="00C8494D">
      <w:pPr>
        <w:widowControl/>
        <w:spacing w:before="100" w:beforeAutospacing="1" w:after="100" w:afterAutospacing="1"/>
        <w:ind w:firstLine="480"/>
        <w:rPr>
          <w:rFonts w:asciiTheme="minorEastAsia" w:hAnsiTheme="minorEastAsia" w:cs="新細明體"/>
          <w:kern w:val="0"/>
          <w:szCs w:val="24"/>
        </w:rPr>
      </w:pPr>
      <w:r w:rsidRPr="00420307">
        <w:rPr>
          <w:rFonts w:asciiTheme="minorEastAsia" w:hAnsiTheme="minorEastAsia" w:cs="新細明體" w:hint="eastAsia"/>
          <w:kern w:val="0"/>
          <w:szCs w:val="24"/>
        </w:rPr>
        <w:t>本研究旨在通過自我探索團體，幫助參與者深入了解自身的情緒、思想、渴望與目標，從而促進個人成長與職業發展。具體目標是協助成員理解情緒和思想對行為的影響，並</w:t>
      </w:r>
      <w:proofErr w:type="gramStart"/>
      <w:r w:rsidRPr="00420307">
        <w:rPr>
          <w:rFonts w:asciiTheme="minorEastAsia" w:hAnsiTheme="minorEastAsia" w:cs="新細明體" w:hint="eastAsia"/>
          <w:kern w:val="0"/>
          <w:szCs w:val="24"/>
        </w:rPr>
        <w:t>釐</w:t>
      </w:r>
      <w:proofErr w:type="gramEnd"/>
      <w:r w:rsidRPr="00420307">
        <w:rPr>
          <w:rFonts w:asciiTheme="minorEastAsia" w:hAnsiTheme="minorEastAsia" w:cs="新細明體" w:hint="eastAsia"/>
          <w:kern w:val="0"/>
          <w:szCs w:val="24"/>
        </w:rPr>
        <w:t>清與外界的互動方式，最終幫助他們確定職業選擇方向並應對現實挑戰。</w:t>
      </w:r>
    </w:p>
    <w:p w:rsidR="006D4203" w:rsidRPr="00420307" w:rsidRDefault="00197EED" w:rsidP="00197EED">
      <w:pPr>
        <w:widowControl/>
        <w:spacing w:before="100" w:beforeAutospacing="1" w:after="100" w:afterAutospacing="1"/>
        <w:ind w:firstLine="480"/>
        <w:rPr>
          <w:rFonts w:asciiTheme="minorEastAsia" w:hAnsiTheme="minorEastAsia" w:cs="新細明體"/>
          <w:kern w:val="0"/>
          <w:szCs w:val="24"/>
        </w:rPr>
      </w:pPr>
      <w:r w:rsidRPr="00420307">
        <w:rPr>
          <w:rFonts w:asciiTheme="minorEastAsia" w:hAnsiTheme="minorEastAsia"/>
          <w:szCs w:val="24"/>
        </w:rPr>
        <w:t>理論基礎來自生涯發展理論，將大學生置於探索階段，這階段涵蓋職</w:t>
      </w:r>
      <w:proofErr w:type="gramStart"/>
      <w:r w:rsidRPr="00420307">
        <w:rPr>
          <w:rFonts w:asciiTheme="minorEastAsia" w:hAnsiTheme="minorEastAsia"/>
          <w:szCs w:val="24"/>
        </w:rPr>
        <w:t>涯</w:t>
      </w:r>
      <w:proofErr w:type="gramEnd"/>
      <w:r w:rsidRPr="00420307">
        <w:rPr>
          <w:rFonts w:asciiTheme="minorEastAsia" w:hAnsiTheme="minorEastAsia"/>
          <w:szCs w:val="24"/>
        </w:rPr>
        <w:t>選擇和自我認同兩大核心任務。隨著職</w:t>
      </w:r>
      <w:proofErr w:type="gramStart"/>
      <w:r w:rsidRPr="00420307">
        <w:rPr>
          <w:rFonts w:asciiTheme="minorEastAsia" w:hAnsiTheme="minorEastAsia"/>
          <w:szCs w:val="24"/>
        </w:rPr>
        <w:t>涯</w:t>
      </w:r>
      <w:proofErr w:type="gramEnd"/>
      <w:r w:rsidRPr="00420307">
        <w:rPr>
          <w:rFonts w:asciiTheme="minorEastAsia" w:hAnsiTheme="minorEastAsia"/>
          <w:szCs w:val="24"/>
        </w:rPr>
        <w:t>壓力的增大，自我認同可能受到挑戰。通過外界的支持與自我探索，大學生能在生命的關鍵階段中發展出穩定且成</w:t>
      </w:r>
      <w:r w:rsidR="005C07F7" w:rsidRPr="00420307">
        <w:rPr>
          <w:rFonts w:asciiTheme="minorEastAsia" w:hAnsiTheme="minorEastAsia"/>
          <w:szCs w:val="24"/>
        </w:rPr>
        <w:t>熟的自我認知，幫助他們思考「現在的自我」和「未來的自我」</w:t>
      </w:r>
      <w:r w:rsidRPr="00420307">
        <w:rPr>
          <w:rFonts w:asciiTheme="minorEastAsia" w:hAnsiTheme="minorEastAsia"/>
          <w:szCs w:val="24"/>
        </w:rPr>
        <w:t>問題</w:t>
      </w:r>
      <w:r w:rsidR="00494EDC" w:rsidRPr="00420307">
        <w:rPr>
          <w:rFonts w:asciiTheme="minorEastAsia" w:hAnsiTheme="minorEastAsia" w:cs="新細明體" w:hint="eastAsia"/>
          <w:kern w:val="0"/>
          <w:szCs w:val="24"/>
        </w:rPr>
        <w:t>。</w:t>
      </w:r>
      <w:r w:rsidR="00494EDC" w:rsidRPr="00420307">
        <w:rPr>
          <w:rFonts w:asciiTheme="minorEastAsia" w:hAnsiTheme="minorEastAsia" w:cs="新細明體"/>
          <w:kern w:val="0"/>
          <w:szCs w:val="24"/>
        </w:rPr>
        <w:fldChar w:fldCharType="begin"/>
      </w:r>
      <w:r w:rsidR="00494EDC" w:rsidRPr="00420307">
        <w:rPr>
          <w:rFonts w:asciiTheme="minorEastAsia" w:hAnsiTheme="minorEastAsia" w:cs="新細明體"/>
          <w:kern w:val="0"/>
          <w:szCs w:val="24"/>
        </w:rPr>
        <w:instrText xml:space="preserve"> ADDIN EN.CITE &lt;EndNote&gt;&lt;Cite&gt;&lt;Author&gt;吳淑禎&lt;/Author&gt;&lt;Year&gt;2012&lt;/Year&gt;&lt;RecNum&gt;149&lt;/RecNum&gt;&lt;DisplayText&gt;(吳淑禎, 2012)&lt;/DisplayText&gt;&lt;record&gt;&lt;rec-number&gt;149&lt;/rec-number&gt;&lt;foreign-keys&gt;&lt;key app="EN" db-id="22vvze9z49vsspepdv8vvxaz5dt2a52r0wpw" timestamp="1726206467"&gt;149&lt;/key&gt;&lt;/foreign-keys&gt;&lt;ref-type name="Journal Article"&gt;17&lt;/ref-type&gt;&lt;contributors&gt;&lt;authors&gt;&lt;author&gt;吳淑禎&lt;/author&gt;&lt;/authors&gt;&lt;/contributors&gt;&lt;titles&gt;&lt;title&gt;大學青年職涯需求調查研究－以臺灣師範大學為例&lt;/title&gt;&lt;secondary-title&gt;中等教育&lt;/secondary-title&gt;&lt;translated-title&gt;The Study of College Youths&amp;apos; Career Needs: An Example of National Taiwan Normal University&lt;/translated-title&gt;&lt;/titles&gt;&lt;periodical&gt;&lt;full-title&gt;中等教育&lt;/full-title&gt;&lt;/periodical&gt;&lt;pages&gt;86-107&lt;/pages&gt;&lt;volume&gt;63&lt;/volume&gt;&lt;number&gt;3&lt;/number&gt;&lt;keywords&gt;&lt;keyword&gt;師資生&lt;/keyword&gt;&lt;keyword&gt;工作價值觀&lt;/keyword&gt;&lt;keyword&gt;生涯定向&lt;/keyword&gt;&lt;keyword&gt;career needs&lt;/keyword&gt;&lt;keyword&gt;college youth&lt;/keyword&gt;&lt;keyword&gt;normal university&lt;/keyword&gt;&lt;/keywords&gt;&lt;dates&gt;&lt;year&gt;2012&lt;/year&gt;&lt;/dates&gt;&lt;urls&gt;&lt;/urls&gt;&lt;electronic-resource-num&gt;10.6249/se.2012.63.3.06&lt;/electronic-resource-num&gt;&lt;remote-database-name&gt;AiritiLibrary&lt;/remote-database-name&gt;&lt;remote-database-provider&gt;Airiti&lt;/remote-database-provider&gt;&lt;language&gt;繁體中文&lt;/language&gt;&lt;/record&gt;&lt;/Cite&gt;&lt;/EndNote&gt;</w:instrText>
      </w:r>
      <w:r w:rsidR="00494EDC" w:rsidRPr="00420307">
        <w:rPr>
          <w:rFonts w:asciiTheme="minorEastAsia" w:hAnsiTheme="minorEastAsia" w:cs="新細明體"/>
          <w:kern w:val="0"/>
          <w:szCs w:val="24"/>
        </w:rPr>
        <w:fldChar w:fldCharType="separate"/>
      </w:r>
      <w:r w:rsidR="00494EDC" w:rsidRPr="00420307">
        <w:rPr>
          <w:rFonts w:asciiTheme="minorEastAsia" w:hAnsiTheme="minorEastAsia" w:cs="新細明體"/>
          <w:noProof/>
          <w:kern w:val="0"/>
          <w:szCs w:val="24"/>
        </w:rPr>
        <w:t>(吳淑禎, 2012)</w:t>
      </w:r>
      <w:r w:rsidR="00494EDC" w:rsidRPr="00420307">
        <w:rPr>
          <w:rFonts w:asciiTheme="minorEastAsia" w:hAnsiTheme="minorEastAsia" w:cs="新細明體"/>
          <w:kern w:val="0"/>
          <w:szCs w:val="24"/>
        </w:rPr>
        <w:fldChar w:fldCharType="end"/>
      </w:r>
      <w:r w:rsidRPr="00420307">
        <w:rPr>
          <w:rFonts w:asciiTheme="minorEastAsia" w:hAnsiTheme="minorEastAsia" w:cs="新細明體"/>
          <w:kern w:val="0"/>
          <w:szCs w:val="24"/>
        </w:rPr>
        <w:t xml:space="preserve"> </w:t>
      </w:r>
      <w:r w:rsidR="0079628F" w:rsidRPr="00420307">
        <w:rPr>
          <w:rFonts w:asciiTheme="minorEastAsia" w:hAnsiTheme="minorEastAsia" w:cs="新細明體"/>
          <w:kern w:val="0"/>
          <w:szCs w:val="24"/>
        </w:rPr>
        <w:fldChar w:fldCharType="begin"/>
      </w:r>
      <w:r w:rsidR="0079628F" w:rsidRPr="00420307">
        <w:rPr>
          <w:rFonts w:asciiTheme="minorEastAsia" w:hAnsiTheme="minorEastAsia" w:cs="新細明體"/>
          <w:kern w:val="0"/>
          <w:szCs w:val="24"/>
        </w:rPr>
        <w:instrText xml:space="preserve"> ADDIN EN.CITE &lt;EndNote&gt;&lt;Cite&gt;&lt;Author&gt;邱然偉&lt;/Author&gt;&lt;Year&gt;2019&lt;/Year&gt;&lt;RecNum&gt;148&lt;/RecNum&gt;&lt;DisplayText&gt;(邱然偉, 蔣孟岑, 謝宛穎, 陳建萱, &amp;amp; 李佩怡, 2019)&lt;/DisplayText&gt;&lt;record&gt;&lt;rec-number&gt;148&lt;/rec-number&gt;&lt;foreign-keys&gt;&lt;key app="EN" db-id="22vvze9z49vsspepdv8vvxaz5dt2a52r0wpw" timestamp="1726205741"&gt;148&lt;/key&gt;&lt;/foreign-keys&gt;&lt;ref-type name="Journal Article"&gt;17&lt;/ref-type&gt;&lt;contributors&gt;&lt;authors&gt;&lt;author&gt;邱然偉&lt;/author&gt;&lt;author&gt;蔣孟岑&lt;/author&gt;&lt;author&gt;謝宛穎&lt;/author&gt;&lt;author&gt;陳建萱&lt;/author&gt;&lt;author&gt;李佩怡&lt;/author&gt;&lt;/authors&gt;&lt;/contributors&gt;&lt;titles&gt;&lt;title&gt;「玩出自我曼陀羅－大學生自我探索成長團體」之團體經驗與反思&lt;/title&gt;&lt;secondary-title&gt;諮商與輔導&lt;/secondary-title&gt;&lt;/titles&gt;&lt;periodical&gt;&lt;full-title&gt;諮商與輔導&lt;/full-title&gt;&lt;/periodical&gt;&lt;pages&gt;5-11+27&lt;/pages&gt;&lt;number&gt;406&lt;/number&gt;&lt;dates&gt;&lt;year&gt;2019&lt;/year&gt;&lt;/dates&gt;&lt;urls&gt;&lt;/urls&gt;&lt;remote-database-name&gt;AiritiLibrary&lt;/remote-database-name&gt;&lt;remote-database-provider&gt;Airiti&lt;/remote-database-provider&gt;&lt;language&gt;繁體中文&lt;/language&gt;&lt;/record&gt;&lt;/Cite&gt;&lt;/EndNote&gt;</w:instrText>
      </w:r>
      <w:r w:rsidR="0079628F" w:rsidRPr="00420307">
        <w:rPr>
          <w:rFonts w:asciiTheme="minorEastAsia" w:hAnsiTheme="minorEastAsia" w:cs="新細明體"/>
          <w:kern w:val="0"/>
          <w:szCs w:val="24"/>
        </w:rPr>
        <w:fldChar w:fldCharType="separate"/>
      </w:r>
      <w:r w:rsidR="0079628F" w:rsidRPr="00420307">
        <w:rPr>
          <w:rFonts w:asciiTheme="minorEastAsia" w:hAnsiTheme="minorEastAsia" w:cs="新細明體"/>
          <w:noProof/>
          <w:kern w:val="0"/>
          <w:szCs w:val="24"/>
        </w:rPr>
        <w:t>(邱然偉, 蔣孟岑, 謝宛穎, 陳建萱, &amp; 李佩怡, 2019)</w:t>
      </w:r>
      <w:r w:rsidR="0079628F" w:rsidRPr="00420307">
        <w:rPr>
          <w:rFonts w:asciiTheme="minorEastAsia" w:hAnsiTheme="minorEastAsia" w:cs="新細明體"/>
          <w:kern w:val="0"/>
          <w:szCs w:val="24"/>
        </w:rPr>
        <w:fldChar w:fldCharType="end"/>
      </w:r>
      <w:r w:rsidR="0079628F" w:rsidRPr="00420307">
        <w:rPr>
          <w:rFonts w:asciiTheme="minorEastAsia" w:hAnsiTheme="minorEastAsia" w:cs="新細明體" w:hint="eastAsia"/>
          <w:kern w:val="0"/>
          <w:szCs w:val="24"/>
        </w:rPr>
        <w:t>。</w:t>
      </w:r>
    </w:p>
    <w:p w:rsidR="006D4203" w:rsidRPr="00420307" w:rsidRDefault="000249F7" w:rsidP="006D4203">
      <w:pPr>
        <w:widowControl/>
        <w:spacing w:before="100" w:beforeAutospacing="1" w:after="100" w:afterAutospacing="1"/>
        <w:outlineLvl w:val="2"/>
        <w:rPr>
          <w:rFonts w:asciiTheme="minorEastAsia" w:hAnsiTheme="minorEastAsia" w:cs="新細明體"/>
          <w:b/>
          <w:bCs/>
          <w:kern w:val="0"/>
          <w:szCs w:val="24"/>
        </w:rPr>
      </w:pPr>
      <w:r w:rsidRPr="00420307">
        <w:rPr>
          <w:rFonts w:asciiTheme="minorEastAsia" w:hAnsiTheme="minorEastAsia" w:cs="新細明體"/>
          <w:b/>
          <w:bCs/>
          <w:kern w:val="0"/>
          <w:szCs w:val="24"/>
        </w:rPr>
        <w:t>二、</w:t>
      </w:r>
      <w:r w:rsidR="006D4203" w:rsidRPr="00420307">
        <w:rPr>
          <w:rFonts w:asciiTheme="minorEastAsia" w:hAnsiTheme="minorEastAsia" w:cs="新細明體"/>
          <w:b/>
          <w:bCs/>
          <w:kern w:val="0"/>
          <w:szCs w:val="24"/>
        </w:rPr>
        <w:t xml:space="preserve"> 研究設計</w:t>
      </w:r>
    </w:p>
    <w:p w:rsidR="00197EED" w:rsidRPr="00420307" w:rsidRDefault="006D4203" w:rsidP="006D4203">
      <w:pPr>
        <w:widowControl/>
        <w:spacing w:before="100" w:beforeAutospacing="1" w:after="100" w:afterAutospacing="1"/>
        <w:rPr>
          <w:rFonts w:asciiTheme="minorEastAsia" w:hAnsiTheme="minorEastAsia" w:cs="新細明體"/>
          <w:kern w:val="0"/>
          <w:szCs w:val="24"/>
        </w:rPr>
      </w:pPr>
      <w:r w:rsidRPr="00420307">
        <w:rPr>
          <w:rFonts w:asciiTheme="minorEastAsia" w:hAnsiTheme="minorEastAsia" w:cs="新細明體"/>
          <w:b/>
          <w:bCs/>
          <w:kern w:val="0"/>
          <w:szCs w:val="24"/>
        </w:rPr>
        <w:t>研究方法</w:t>
      </w:r>
      <w:r w:rsidRPr="00420307">
        <w:rPr>
          <w:rFonts w:asciiTheme="minorEastAsia" w:hAnsiTheme="minorEastAsia" w:cs="新細明體"/>
          <w:kern w:val="0"/>
          <w:szCs w:val="24"/>
        </w:rPr>
        <w:t>:</w:t>
      </w:r>
      <w:r w:rsidRPr="00420307">
        <w:rPr>
          <w:rFonts w:asciiTheme="minorEastAsia" w:hAnsiTheme="minorEastAsia" w:cs="新細明體"/>
          <w:kern w:val="0"/>
          <w:szCs w:val="24"/>
        </w:rPr>
        <w:br/>
      </w:r>
      <w:r w:rsidR="00197EED" w:rsidRPr="00420307">
        <w:rPr>
          <w:rFonts w:asciiTheme="minorEastAsia" w:hAnsiTheme="minorEastAsia" w:cs="新細明體" w:hint="eastAsia"/>
          <w:kern w:val="0"/>
          <w:szCs w:val="24"/>
        </w:rPr>
        <w:t xml:space="preserve">    </w:t>
      </w:r>
      <w:r w:rsidR="0088799D" w:rsidRPr="00420307">
        <w:rPr>
          <w:rFonts w:asciiTheme="minorEastAsia" w:hAnsiTheme="minorEastAsia" w:cs="新細明體" w:hint="eastAsia"/>
          <w:kern w:val="0"/>
          <w:szCs w:val="24"/>
        </w:rPr>
        <w:t>本研究設計</w:t>
      </w:r>
      <w:r w:rsidR="00C8494D" w:rsidRPr="00420307">
        <w:rPr>
          <w:rFonts w:asciiTheme="minorEastAsia" w:hAnsiTheme="minorEastAsia" w:cs="新細明體" w:hint="eastAsia"/>
          <w:kern w:val="0"/>
          <w:szCs w:val="24"/>
        </w:rPr>
        <w:t>為期六</w:t>
      </w:r>
      <w:proofErr w:type="gramStart"/>
      <w:r w:rsidR="00C8494D" w:rsidRPr="00420307">
        <w:rPr>
          <w:rFonts w:asciiTheme="minorEastAsia" w:hAnsiTheme="minorEastAsia" w:cs="新細明體" w:hint="eastAsia"/>
          <w:kern w:val="0"/>
          <w:szCs w:val="24"/>
        </w:rPr>
        <w:t>週</w:t>
      </w:r>
      <w:proofErr w:type="gramEnd"/>
      <w:r w:rsidR="00C8494D" w:rsidRPr="00420307">
        <w:rPr>
          <w:rFonts w:asciiTheme="minorEastAsia" w:hAnsiTheme="minorEastAsia" w:cs="新細明體" w:hint="eastAsia"/>
          <w:kern w:val="0"/>
          <w:szCs w:val="24"/>
        </w:rPr>
        <w:t>的自我探索團體，每周進行一次，每次2.5小時。活動內容涵蓋多種工具和方法，</w:t>
      </w:r>
      <w:proofErr w:type="gramStart"/>
      <w:r w:rsidR="00C8494D" w:rsidRPr="00420307">
        <w:rPr>
          <w:rFonts w:asciiTheme="minorEastAsia" w:hAnsiTheme="minorEastAsia" w:cs="新細明體" w:hint="eastAsia"/>
          <w:kern w:val="0"/>
          <w:szCs w:val="24"/>
        </w:rPr>
        <w:t>包括正念減壓</w:t>
      </w:r>
      <w:proofErr w:type="gramEnd"/>
      <w:r w:rsidR="00C8494D" w:rsidRPr="00420307">
        <w:rPr>
          <w:rFonts w:asciiTheme="minorEastAsia" w:hAnsiTheme="minorEastAsia" w:cs="新細明體" w:hint="eastAsia"/>
          <w:kern w:val="0"/>
          <w:szCs w:val="24"/>
        </w:rPr>
        <w:t>、</w:t>
      </w:r>
      <w:proofErr w:type="gramStart"/>
      <w:r w:rsidR="00C8494D" w:rsidRPr="00420307">
        <w:rPr>
          <w:rFonts w:asciiTheme="minorEastAsia" w:hAnsiTheme="minorEastAsia" w:cs="新細明體" w:hint="eastAsia"/>
          <w:kern w:val="0"/>
          <w:szCs w:val="24"/>
        </w:rPr>
        <w:t>牌卡討論</w:t>
      </w:r>
      <w:proofErr w:type="gramEnd"/>
      <w:r w:rsidR="00C8494D" w:rsidRPr="00420307">
        <w:rPr>
          <w:rFonts w:asciiTheme="minorEastAsia" w:hAnsiTheme="minorEastAsia" w:cs="新細明體" w:hint="eastAsia"/>
          <w:kern w:val="0"/>
          <w:szCs w:val="24"/>
        </w:rPr>
        <w:t>、沙</w:t>
      </w:r>
      <w:proofErr w:type="gramStart"/>
      <w:r w:rsidR="00C8494D" w:rsidRPr="00420307">
        <w:rPr>
          <w:rFonts w:asciiTheme="minorEastAsia" w:hAnsiTheme="minorEastAsia" w:cs="新細明體" w:hint="eastAsia"/>
          <w:kern w:val="0"/>
          <w:szCs w:val="24"/>
        </w:rPr>
        <w:t>游</w:t>
      </w:r>
      <w:proofErr w:type="gramEnd"/>
      <w:r w:rsidR="00C8494D" w:rsidRPr="00420307">
        <w:rPr>
          <w:rFonts w:asciiTheme="minorEastAsia" w:hAnsiTheme="minorEastAsia" w:cs="新細明體" w:hint="eastAsia"/>
          <w:kern w:val="0"/>
          <w:szCs w:val="24"/>
        </w:rPr>
        <w:t>和夢想探索等，幫助成員逐步探索自身的情緒、行為模式及未來渴望。</w:t>
      </w:r>
    </w:p>
    <w:p w:rsidR="006D4203" w:rsidRPr="00420307" w:rsidRDefault="006D4203" w:rsidP="006D4203">
      <w:pPr>
        <w:widowControl/>
        <w:spacing w:before="100" w:beforeAutospacing="1" w:after="100" w:afterAutospacing="1"/>
        <w:rPr>
          <w:rFonts w:asciiTheme="minorEastAsia" w:hAnsiTheme="minorEastAsia" w:cs="新細明體"/>
          <w:kern w:val="0"/>
          <w:szCs w:val="24"/>
        </w:rPr>
      </w:pPr>
      <w:r w:rsidRPr="00420307">
        <w:rPr>
          <w:rFonts w:asciiTheme="minorEastAsia" w:hAnsiTheme="minorEastAsia" w:cs="新細明體"/>
          <w:b/>
          <w:bCs/>
          <w:kern w:val="0"/>
          <w:szCs w:val="24"/>
        </w:rPr>
        <w:t>樣本</w:t>
      </w:r>
      <w:r w:rsidRPr="00420307">
        <w:rPr>
          <w:rFonts w:asciiTheme="minorEastAsia" w:hAnsiTheme="minorEastAsia" w:cs="新細明體"/>
          <w:kern w:val="0"/>
          <w:szCs w:val="24"/>
        </w:rPr>
        <w:t>:</w:t>
      </w:r>
      <w:r w:rsidRPr="00420307">
        <w:rPr>
          <w:rFonts w:asciiTheme="minorEastAsia" w:hAnsiTheme="minorEastAsia" w:cs="新細明體"/>
          <w:kern w:val="0"/>
          <w:szCs w:val="24"/>
        </w:rPr>
        <w:br/>
      </w:r>
      <w:r w:rsidR="00197EED" w:rsidRPr="00420307">
        <w:rPr>
          <w:rFonts w:asciiTheme="minorEastAsia" w:hAnsiTheme="minorEastAsia" w:cs="新細明體" w:hint="eastAsia"/>
          <w:kern w:val="0"/>
          <w:szCs w:val="24"/>
        </w:rPr>
        <w:t xml:space="preserve">    </w:t>
      </w:r>
      <w:r w:rsidR="00C8494D" w:rsidRPr="00420307">
        <w:rPr>
          <w:rFonts w:asciiTheme="minorEastAsia" w:hAnsiTheme="minorEastAsia" w:cs="新細明體" w:hint="eastAsia"/>
          <w:kern w:val="0"/>
          <w:szCs w:val="24"/>
        </w:rPr>
        <w:t>參與者為19至22歲的大學生，團體成員共篩選出6至8人，根據其強烈的自我成長和探索動機進行選擇。</w:t>
      </w:r>
    </w:p>
    <w:p w:rsidR="0088799D" w:rsidRPr="00420307" w:rsidRDefault="006D4203" w:rsidP="000249F7">
      <w:pPr>
        <w:widowControl/>
        <w:spacing w:before="100" w:beforeAutospacing="1" w:after="100" w:afterAutospacing="1"/>
        <w:rPr>
          <w:rFonts w:asciiTheme="minorEastAsia" w:hAnsiTheme="minorEastAsia" w:cs="新細明體"/>
          <w:kern w:val="0"/>
          <w:szCs w:val="24"/>
        </w:rPr>
      </w:pPr>
      <w:r w:rsidRPr="00420307">
        <w:rPr>
          <w:rFonts w:asciiTheme="minorEastAsia" w:hAnsiTheme="minorEastAsia" w:cs="新細明體"/>
          <w:b/>
          <w:bCs/>
          <w:kern w:val="0"/>
          <w:szCs w:val="24"/>
        </w:rPr>
        <w:t>資料蒐集與分析</w:t>
      </w:r>
      <w:r w:rsidRPr="00420307">
        <w:rPr>
          <w:rFonts w:asciiTheme="minorEastAsia" w:hAnsiTheme="minorEastAsia" w:cs="新細明體"/>
          <w:kern w:val="0"/>
          <w:szCs w:val="24"/>
        </w:rPr>
        <w:t>:</w:t>
      </w:r>
      <w:r w:rsidRPr="00420307">
        <w:rPr>
          <w:rFonts w:asciiTheme="minorEastAsia" w:hAnsiTheme="minorEastAsia" w:cs="新細明體"/>
          <w:kern w:val="0"/>
          <w:szCs w:val="24"/>
        </w:rPr>
        <w:br/>
      </w:r>
      <w:r w:rsidR="00197EED" w:rsidRPr="00420307">
        <w:rPr>
          <w:rFonts w:asciiTheme="minorEastAsia" w:hAnsiTheme="minorEastAsia" w:cs="新細明體"/>
          <w:kern w:val="0"/>
          <w:szCs w:val="24"/>
        </w:rPr>
        <w:t xml:space="preserve">    團體</w:t>
      </w:r>
      <w:r w:rsidRPr="00420307">
        <w:rPr>
          <w:rFonts w:asciiTheme="minorEastAsia" w:hAnsiTheme="minorEastAsia" w:cs="新細明體"/>
          <w:kern w:val="0"/>
          <w:szCs w:val="24"/>
        </w:rPr>
        <w:t>結束後，成員會填寫回饋表，提供對活動的反思與感受，並在每次活動中進行自我覺察的紀錄。</w:t>
      </w:r>
      <w:proofErr w:type="gramStart"/>
      <w:r w:rsidRPr="00420307">
        <w:rPr>
          <w:rFonts w:asciiTheme="minorEastAsia" w:hAnsiTheme="minorEastAsia" w:cs="新細明體"/>
          <w:kern w:val="0"/>
          <w:szCs w:val="24"/>
        </w:rPr>
        <w:t>此外，</w:t>
      </w:r>
      <w:proofErr w:type="gramEnd"/>
      <w:r w:rsidRPr="00420307">
        <w:rPr>
          <w:rFonts w:asciiTheme="minorEastAsia" w:hAnsiTheme="minorEastAsia" w:cs="新細明體"/>
          <w:kern w:val="0"/>
          <w:szCs w:val="24"/>
        </w:rPr>
        <w:t>研究者會根據成員在活動中的表現與回饋進行分析，以評估團體活動對於自我探索與職</w:t>
      </w:r>
      <w:proofErr w:type="gramStart"/>
      <w:r w:rsidRPr="00420307">
        <w:rPr>
          <w:rFonts w:asciiTheme="minorEastAsia" w:hAnsiTheme="minorEastAsia" w:cs="新細明體"/>
          <w:kern w:val="0"/>
          <w:szCs w:val="24"/>
        </w:rPr>
        <w:t>涯</w:t>
      </w:r>
      <w:proofErr w:type="gramEnd"/>
      <w:r w:rsidRPr="00420307">
        <w:rPr>
          <w:rFonts w:asciiTheme="minorEastAsia" w:hAnsiTheme="minorEastAsia" w:cs="新細明體"/>
          <w:kern w:val="0"/>
          <w:szCs w:val="24"/>
        </w:rPr>
        <w:t>規劃的影響。</w:t>
      </w:r>
    </w:p>
    <w:p w:rsidR="006D4203" w:rsidRPr="00A7463C" w:rsidRDefault="000249F7" w:rsidP="000249F7">
      <w:pPr>
        <w:widowControl/>
        <w:spacing w:before="100" w:beforeAutospacing="1" w:after="100" w:afterAutospacing="1"/>
        <w:rPr>
          <w:rFonts w:asciiTheme="minorEastAsia" w:hAnsiTheme="minorEastAsia" w:cs="新細明體"/>
          <w:b/>
          <w:kern w:val="0"/>
          <w:szCs w:val="24"/>
        </w:rPr>
      </w:pPr>
      <w:r w:rsidRPr="00A7463C">
        <w:rPr>
          <w:rFonts w:asciiTheme="minorEastAsia" w:hAnsiTheme="minorEastAsia" w:cs="新細明體" w:hint="eastAsia"/>
          <w:b/>
          <w:kern w:val="0"/>
          <w:szCs w:val="24"/>
        </w:rPr>
        <w:t>三、</w:t>
      </w:r>
      <w:r w:rsidR="006D4203" w:rsidRPr="00A7463C">
        <w:rPr>
          <w:rFonts w:asciiTheme="minorEastAsia" w:hAnsiTheme="minorEastAsia" w:cs="新細明體"/>
          <w:b/>
          <w:bCs/>
          <w:kern w:val="0"/>
          <w:szCs w:val="24"/>
        </w:rPr>
        <w:t>研究發現</w:t>
      </w:r>
    </w:p>
    <w:p w:rsidR="000249F7" w:rsidRPr="00420307" w:rsidRDefault="006D4203" w:rsidP="000249F7">
      <w:pPr>
        <w:widowControl/>
        <w:spacing w:before="100" w:beforeAutospacing="1" w:after="100" w:afterAutospacing="1"/>
        <w:ind w:firstLine="480"/>
        <w:rPr>
          <w:rFonts w:asciiTheme="minorEastAsia" w:hAnsiTheme="minorEastAsia" w:cs="新細明體"/>
          <w:kern w:val="0"/>
          <w:szCs w:val="24"/>
        </w:rPr>
      </w:pPr>
      <w:r w:rsidRPr="00420307">
        <w:rPr>
          <w:rFonts w:asciiTheme="minorEastAsia" w:hAnsiTheme="minorEastAsia" w:cs="新細明體"/>
          <w:kern w:val="0"/>
          <w:szCs w:val="24"/>
        </w:rPr>
        <w:t>自我探索團體活動有效地促</w:t>
      </w:r>
      <w:r w:rsidR="0088799D" w:rsidRPr="00420307">
        <w:rPr>
          <w:rFonts w:asciiTheme="minorEastAsia" w:hAnsiTheme="minorEastAsia" w:cs="新細明體"/>
          <w:kern w:val="0"/>
          <w:szCs w:val="24"/>
        </w:rPr>
        <w:t>進了成員的自我覺察，特別是對於情緒與行為模式的理解。成員能夠逐步探索自己的內在需求和情緒反應，</w:t>
      </w:r>
      <w:r w:rsidRPr="00420307">
        <w:rPr>
          <w:rFonts w:asciiTheme="minorEastAsia" w:hAnsiTheme="minorEastAsia" w:cs="新細明體"/>
          <w:kern w:val="0"/>
          <w:szCs w:val="24"/>
        </w:rPr>
        <w:t>進一步</w:t>
      </w:r>
      <w:proofErr w:type="gramStart"/>
      <w:r w:rsidRPr="00420307">
        <w:rPr>
          <w:rFonts w:asciiTheme="minorEastAsia" w:hAnsiTheme="minorEastAsia" w:cs="新細明體"/>
          <w:kern w:val="0"/>
          <w:szCs w:val="24"/>
        </w:rPr>
        <w:t>釐</w:t>
      </w:r>
      <w:proofErr w:type="gramEnd"/>
      <w:r w:rsidRPr="00420307">
        <w:rPr>
          <w:rFonts w:asciiTheme="minorEastAsia" w:hAnsiTheme="minorEastAsia" w:cs="新細明體"/>
          <w:kern w:val="0"/>
          <w:szCs w:val="24"/>
        </w:rPr>
        <w:t>清個人困擾。參與者在活動中表現出更清晰的職業</w:t>
      </w:r>
      <w:r w:rsidR="00197EED" w:rsidRPr="00420307">
        <w:rPr>
          <w:rFonts w:asciiTheme="minorEastAsia" w:hAnsiTheme="minorEastAsia" w:cs="新細明體"/>
          <w:kern w:val="0"/>
          <w:szCs w:val="24"/>
        </w:rPr>
        <w:t>與人生目標，並能夠在團體討論和互動中獲得支持與啟發。</w:t>
      </w:r>
      <w:r w:rsidRPr="00420307">
        <w:rPr>
          <w:rFonts w:asciiTheme="minorEastAsia" w:hAnsiTheme="minorEastAsia" w:cs="新細明體"/>
          <w:kern w:val="0"/>
          <w:szCs w:val="24"/>
        </w:rPr>
        <w:t>促使成員探索</w:t>
      </w:r>
      <w:r w:rsidR="0088799D" w:rsidRPr="00420307">
        <w:rPr>
          <w:rFonts w:asciiTheme="minorEastAsia" w:hAnsiTheme="minorEastAsia" w:cs="新細明體"/>
          <w:kern w:val="0"/>
          <w:szCs w:val="24"/>
        </w:rPr>
        <w:t>未來的可能性，</w:t>
      </w:r>
      <w:r w:rsidR="00676645" w:rsidRPr="00420307">
        <w:rPr>
          <w:rFonts w:asciiTheme="minorEastAsia" w:hAnsiTheme="minorEastAsia" w:cs="新細明體"/>
          <w:kern w:val="0"/>
          <w:szCs w:val="24"/>
        </w:rPr>
        <w:t>且能夠更具體地</w:t>
      </w:r>
      <w:proofErr w:type="gramStart"/>
      <w:r w:rsidR="00676645" w:rsidRPr="00420307">
        <w:rPr>
          <w:rFonts w:asciiTheme="minorEastAsia" w:hAnsiTheme="minorEastAsia" w:cs="新細明體"/>
          <w:kern w:val="0"/>
          <w:szCs w:val="24"/>
        </w:rPr>
        <w:t>釐</w:t>
      </w:r>
      <w:proofErr w:type="gramEnd"/>
      <w:r w:rsidR="00676645" w:rsidRPr="00420307">
        <w:rPr>
          <w:rFonts w:asciiTheme="minorEastAsia" w:hAnsiTheme="minorEastAsia" w:cs="新細明體"/>
          <w:kern w:val="0"/>
          <w:szCs w:val="24"/>
        </w:rPr>
        <w:t>清未來的行動方向。</w:t>
      </w:r>
    </w:p>
    <w:p w:rsidR="006D4203" w:rsidRPr="00420307" w:rsidRDefault="000249F7" w:rsidP="000249F7">
      <w:pPr>
        <w:widowControl/>
        <w:spacing w:before="100" w:beforeAutospacing="1" w:after="100" w:afterAutospacing="1"/>
        <w:rPr>
          <w:rFonts w:asciiTheme="minorEastAsia" w:hAnsiTheme="minorEastAsia" w:cs="新細明體"/>
          <w:b/>
          <w:kern w:val="0"/>
          <w:szCs w:val="24"/>
        </w:rPr>
      </w:pPr>
      <w:r w:rsidRPr="00420307">
        <w:rPr>
          <w:rFonts w:asciiTheme="minorEastAsia" w:hAnsiTheme="minorEastAsia" w:cs="新細明體" w:hint="eastAsia"/>
          <w:b/>
          <w:kern w:val="0"/>
          <w:szCs w:val="24"/>
        </w:rPr>
        <w:lastRenderedPageBreak/>
        <w:t>四、</w:t>
      </w:r>
      <w:r w:rsidR="006D4203" w:rsidRPr="00420307">
        <w:rPr>
          <w:rFonts w:asciiTheme="minorEastAsia" w:hAnsiTheme="minorEastAsia" w:cs="新細明體"/>
          <w:b/>
          <w:bCs/>
          <w:kern w:val="0"/>
          <w:szCs w:val="24"/>
        </w:rPr>
        <w:t>結論</w:t>
      </w:r>
    </w:p>
    <w:p w:rsidR="00B162C0" w:rsidRPr="00420307" w:rsidRDefault="0088799D" w:rsidP="00784C62">
      <w:pPr>
        <w:widowControl/>
        <w:spacing w:before="100" w:beforeAutospacing="1" w:after="100" w:afterAutospacing="1"/>
        <w:ind w:firstLine="480"/>
        <w:rPr>
          <w:rFonts w:asciiTheme="minorEastAsia" w:hAnsiTheme="minorEastAsia" w:cs="新細明體"/>
          <w:kern w:val="0"/>
          <w:szCs w:val="24"/>
        </w:rPr>
      </w:pPr>
      <w:r w:rsidRPr="00420307">
        <w:rPr>
          <w:rFonts w:asciiTheme="minorEastAsia" w:hAnsiTheme="minorEastAsia" w:cs="新細明體"/>
          <w:kern w:val="0"/>
          <w:szCs w:val="24"/>
        </w:rPr>
        <w:t>自我探索團體活動對提升大學生的自我覺察與情緒處理能力具有效果</w:t>
      </w:r>
      <w:r w:rsidR="006D4203" w:rsidRPr="00420307">
        <w:rPr>
          <w:rFonts w:asciiTheme="minorEastAsia" w:hAnsiTheme="minorEastAsia" w:cs="新細明體"/>
          <w:kern w:val="0"/>
          <w:szCs w:val="24"/>
        </w:rPr>
        <w:t>。強調，通過自我探索，成員能夠更加了解自己的優勢與弱點，並學習如何面對現實生活</w:t>
      </w:r>
      <w:r w:rsidR="00676645" w:rsidRPr="00420307">
        <w:rPr>
          <w:rFonts w:asciiTheme="minorEastAsia" w:hAnsiTheme="minorEastAsia" w:cs="新細明體"/>
          <w:kern w:val="0"/>
          <w:szCs w:val="24"/>
        </w:rPr>
        <w:t>中的挑戰。</w:t>
      </w:r>
      <w:proofErr w:type="gramStart"/>
      <w:r w:rsidR="00676645" w:rsidRPr="00420307">
        <w:rPr>
          <w:rFonts w:asciiTheme="minorEastAsia" w:hAnsiTheme="minorEastAsia" w:cs="新細明體"/>
          <w:kern w:val="0"/>
          <w:szCs w:val="24"/>
        </w:rPr>
        <w:t>此外，</w:t>
      </w:r>
      <w:proofErr w:type="gramEnd"/>
      <w:r w:rsidR="00676645" w:rsidRPr="00420307">
        <w:rPr>
          <w:rFonts w:asciiTheme="minorEastAsia" w:hAnsiTheme="minorEastAsia" w:cs="新細明體"/>
          <w:kern w:val="0"/>
          <w:szCs w:val="24"/>
        </w:rPr>
        <w:t>這些活動不僅促進了成員對自身需求與情緒的理解，</w:t>
      </w:r>
      <w:r w:rsidR="006D4203" w:rsidRPr="00420307">
        <w:rPr>
          <w:rFonts w:asciiTheme="minorEastAsia" w:hAnsiTheme="minorEastAsia" w:cs="新細明體"/>
          <w:kern w:val="0"/>
          <w:szCs w:val="24"/>
        </w:rPr>
        <w:t>幫助他們在未來的職業規劃中更具信心與方向感。</w:t>
      </w:r>
      <w:r w:rsidR="00676645" w:rsidRPr="00420307">
        <w:rPr>
          <w:rFonts w:asciiTheme="minorEastAsia" w:hAnsiTheme="minorEastAsia" w:cs="新細明體" w:hint="eastAsia"/>
          <w:kern w:val="0"/>
          <w:szCs w:val="24"/>
        </w:rPr>
        <w:t>活動也幫助成員</w:t>
      </w:r>
      <w:proofErr w:type="gramStart"/>
      <w:r w:rsidR="00676645" w:rsidRPr="00420307">
        <w:rPr>
          <w:rFonts w:asciiTheme="minorEastAsia" w:hAnsiTheme="minorEastAsia" w:cs="新細明體" w:hint="eastAsia"/>
          <w:kern w:val="0"/>
          <w:szCs w:val="24"/>
        </w:rPr>
        <w:t>釐</w:t>
      </w:r>
      <w:proofErr w:type="gramEnd"/>
      <w:r w:rsidR="00676645" w:rsidRPr="00420307">
        <w:rPr>
          <w:rFonts w:asciiTheme="minorEastAsia" w:hAnsiTheme="minorEastAsia" w:cs="新細明體" w:hint="eastAsia"/>
          <w:kern w:val="0"/>
          <w:szCs w:val="24"/>
        </w:rPr>
        <w:t>清未來的職業選擇方向，並促使他們制定具體的行動計劃。</w:t>
      </w:r>
    </w:p>
    <w:p w:rsidR="00B162C0" w:rsidRPr="00420307" w:rsidRDefault="00B162C0" w:rsidP="00B162C0">
      <w:pPr>
        <w:pStyle w:val="3"/>
        <w:rPr>
          <w:rFonts w:asciiTheme="minorEastAsia" w:eastAsiaTheme="minorEastAsia" w:hAnsiTheme="minorEastAsia"/>
          <w:sz w:val="24"/>
          <w:szCs w:val="24"/>
        </w:rPr>
      </w:pPr>
      <w:r w:rsidRPr="00420307">
        <w:rPr>
          <w:rFonts w:asciiTheme="minorEastAsia" w:eastAsiaTheme="minorEastAsia" w:hAnsiTheme="minorEastAsia"/>
          <w:sz w:val="24"/>
          <w:szCs w:val="24"/>
        </w:rPr>
        <w:t>關鍵字</w:t>
      </w:r>
    </w:p>
    <w:p w:rsidR="00B162C0" w:rsidRPr="00420307" w:rsidRDefault="005221C1" w:rsidP="00B162C0">
      <w:pPr>
        <w:pStyle w:val="Web"/>
        <w:rPr>
          <w:rFonts w:asciiTheme="minorEastAsia" w:eastAsiaTheme="minorEastAsia" w:hAnsiTheme="minorEastAsia"/>
        </w:rPr>
      </w:pPr>
      <w:r w:rsidRPr="00420307">
        <w:rPr>
          <w:rFonts w:asciiTheme="minorEastAsia" w:eastAsiaTheme="minorEastAsia" w:hAnsiTheme="minorEastAsia"/>
        </w:rPr>
        <w:t>自我探索、情緒管理、大學生生涯發展</w:t>
      </w:r>
    </w:p>
    <w:p w:rsidR="00B162C0" w:rsidRPr="00420307" w:rsidRDefault="00B162C0" w:rsidP="00B162C0">
      <w:pPr>
        <w:widowControl/>
        <w:spacing w:before="100" w:beforeAutospacing="1" w:after="100" w:afterAutospacing="1"/>
        <w:rPr>
          <w:rFonts w:asciiTheme="minorEastAsia" w:hAnsiTheme="minorEastAsia" w:cs="新細明體"/>
          <w:kern w:val="0"/>
          <w:szCs w:val="24"/>
        </w:rPr>
      </w:pPr>
    </w:p>
    <w:p w:rsidR="00B162C0" w:rsidRPr="00420307" w:rsidRDefault="00B162C0" w:rsidP="005221C1">
      <w:pPr>
        <w:widowControl/>
        <w:spacing w:before="100" w:beforeAutospacing="1" w:after="100" w:afterAutospacing="1"/>
        <w:rPr>
          <w:rFonts w:asciiTheme="minorEastAsia" w:hAnsiTheme="minorEastAsia" w:cs="新細明體"/>
          <w:kern w:val="0"/>
          <w:szCs w:val="24"/>
        </w:rPr>
      </w:pPr>
    </w:p>
    <w:p w:rsidR="00B162C0" w:rsidRDefault="00B162C0" w:rsidP="00D61FE3">
      <w:pPr>
        <w:widowControl/>
        <w:spacing w:before="100" w:beforeAutospacing="1" w:after="100" w:afterAutospacing="1"/>
        <w:rPr>
          <w:rFonts w:asciiTheme="minorEastAsia" w:hAnsiTheme="minorEastAsia" w:cs="新細明體"/>
          <w:kern w:val="0"/>
          <w:szCs w:val="24"/>
        </w:rPr>
      </w:pPr>
    </w:p>
    <w:p w:rsidR="00D61FE3" w:rsidRDefault="00D61FE3" w:rsidP="00D61FE3">
      <w:pPr>
        <w:widowControl/>
        <w:spacing w:before="100" w:beforeAutospacing="1" w:after="100" w:afterAutospacing="1"/>
        <w:rPr>
          <w:rFonts w:asciiTheme="minorEastAsia" w:hAnsiTheme="minorEastAsia" w:cs="新細明體"/>
          <w:kern w:val="0"/>
          <w:szCs w:val="24"/>
        </w:rPr>
      </w:pPr>
    </w:p>
    <w:p w:rsidR="00D61FE3" w:rsidRDefault="00D61FE3" w:rsidP="00D61FE3">
      <w:pPr>
        <w:widowControl/>
        <w:spacing w:before="100" w:beforeAutospacing="1" w:after="100" w:afterAutospacing="1"/>
        <w:rPr>
          <w:rFonts w:asciiTheme="minorEastAsia" w:hAnsiTheme="minorEastAsia" w:cs="新細明體"/>
          <w:kern w:val="0"/>
          <w:szCs w:val="24"/>
        </w:rPr>
      </w:pPr>
    </w:p>
    <w:p w:rsidR="00D61FE3" w:rsidRDefault="00D61FE3" w:rsidP="00D61FE3">
      <w:pPr>
        <w:widowControl/>
        <w:spacing w:before="100" w:beforeAutospacing="1" w:after="100" w:afterAutospacing="1"/>
        <w:rPr>
          <w:rFonts w:asciiTheme="minorEastAsia" w:hAnsiTheme="minorEastAsia" w:cs="新細明體"/>
          <w:kern w:val="0"/>
          <w:szCs w:val="24"/>
        </w:rPr>
      </w:pPr>
    </w:p>
    <w:p w:rsidR="00D61FE3" w:rsidRDefault="00D61FE3" w:rsidP="00D61FE3">
      <w:pPr>
        <w:widowControl/>
        <w:spacing w:before="100" w:beforeAutospacing="1" w:after="100" w:afterAutospacing="1"/>
        <w:rPr>
          <w:rFonts w:asciiTheme="minorEastAsia" w:hAnsiTheme="minorEastAsia" w:cs="新細明體"/>
          <w:kern w:val="0"/>
          <w:szCs w:val="24"/>
        </w:rPr>
      </w:pPr>
    </w:p>
    <w:p w:rsidR="00D61FE3" w:rsidRDefault="00D61FE3" w:rsidP="00D61FE3">
      <w:pPr>
        <w:widowControl/>
        <w:spacing w:before="100" w:beforeAutospacing="1" w:after="100" w:afterAutospacing="1"/>
        <w:rPr>
          <w:rFonts w:asciiTheme="minorEastAsia" w:hAnsiTheme="minorEastAsia" w:cs="新細明體"/>
          <w:kern w:val="0"/>
          <w:szCs w:val="24"/>
        </w:rPr>
      </w:pPr>
    </w:p>
    <w:p w:rsidR="00D61FE3" w:rsidRPr="00420307" w:rsidRDefault="00D61FE3" w:rsidP="00D61FE3">
      <w:pPr>
        <w:widowControl/>
        <w:spacing w:before="100" w:beforeAutospacing="1" w:after="100" w:afterAutospacing="1"/>
        <w:rPr>
          <w:rFonts w:asciiTheme="minorEastAsia" w:hAnsiTheme="minorEastAsia" w:cs="新細明體"/>
          <w:kern w:val="0"/>
          <w:szCs w:val="24"/>
        </w:rPr>
      </w:pPr>
    </w:p>
    <w:p w:rsidR="00B94B64" w:rsidRPr="00420307" w:rsidRDefault="00B94B64">
      <w:pPr>
        <w:rPr>
          <w:rFonts w:asciiTheme="minorEastAsia" w:hAnsiTheme="minorEastAsia"/>
          <w:szCs w:val="24"/>
        </w:rPr>
      </w:pPr>
    </w:p>
    <w:p w:rsidR="0079628F" w:rsidRDefault="00494EDC" w:rsidP="005221C1">
      <w:pPr>
        <w:jc w:val="center"/>
        <w:rPr>
          <w:rFonts w:asciiTheme="minorEastAsia" w:hAnsiTheme="minorEastAsia"/>
          <w:b/>
          <w:szCs w:val="24"/>
        </w:rPr>
      </w:pPr>
      <w:r w:rsidRPr="00420307">
        <w:rPr>
          <w:rFonts w:asciiTheme="minorEastAsia" w:hAnsiTheme="minorEastAsia"/>
          <w:b/>
          <w:szCs w:val="24"/>
        </w:rPr>
        <w:t>參考文獻</w:t>
      </w:r>
    </w:p>
    <w:p w:rsidR="00784C62" w:rsidRPr="00420307" w:rsidRDefault="00784C62" w:rsidP="005221C1">
      <w:pPr>
        <w:jc w:val="center"/>
        <w:rPr>
          <w:rFonts w:asciiTheme="minorEastAsia" w:hAnsiTheme="minorEastAsia"/>
          <w:b/>
          <w:szCs w:val="24"/>
        </w:rPr>
      </w:pPr>
    </w:p>
    <w:p w:rsidR="00494EDC" w:rsidRPr="00420307" w:rsidRDefault="0079628F" w:rsidP="00494EDC">
      <w:pPr>
        <w:pStyle w:val="EndNoteBibliography"/>
        <w:ind w:left="720" w:hanging="720"/>
        <w:rPr>
          <w:rFonts w:asciiTheme="minorEastAsia" w:hAnsiTheme="minorEastAsia"/>
          <w:szCs w:val="24"/>
        </w:rPr>
      </w:pPr>
      <w:r w:rsidRPr="00420307">
        <w:rPr>
          <w:rFonts w:asciiTheme="minorEastAsia" w:hAnsiTheme="minorEastAsia"/>
          <w:szCs w:val="24"/>
        </w:rPr>
        <w:fldChar w:fldCharType="begin"/>
      </w:r>
      <w:r w:rsidRPr="00420307">
        <w:rPr>
          <w:rFonts w:asciiTheme="minorEastAsia" w:hAnsiTheme="minorEastAsia"/>
          <w:szCs w:val="24"/>
        </w:rPr>
        <w:instrText xml:space="preserve"> ADDIN EN.REFLIST </w:instrText>
      </w:r>
      <w:r w:rsidRPr="00420307">
        <w:rPr>
          <w:rFonts w:asciiTheme="minorEastAsia" w:hAnsiTheme="minorEastAsia"/>
          <w:szCs w:val="24"/>
        </w:rPr>
        <w:fldChar w:fldCharType="separate"/>
      </w:r>
      <w:r w:rsidR="00494EDC" w:rsidRPr="00420307">
        <w:rPr>
          <w:rFonts w:asciiTheme="minorEastAsia" w:hAnsiTheme="minorEastAsia" w:hint="eastAsia"/>
          <w:szCs w:val="24"/>
        </w:rPr>
        <w:t xml:space="preserve">吳淑禎. (2012). 大學青年職涯需求調查研究－以臺灣師範大學為例. [The Study of College Youths' Career Needs: An Example of National Taiwan Normal University]. </w:t>
      </w:r>
      <w:r w:rsidR="00494EDC" w:rsidRPr="00420307">
        <w:rPr>
          <w:rFonts w:asciiTheme="minorEastAsia" w:hAnsiTheme="minorEastAsia" w:hint="eastAsia"/>
          <w:i/>
          <w:szCs w:val="24"/>
        </w:rPr>
        <w:t>中等教育, 63</w:t>
      </w:r>
      <w:r w:rsidR="00494EDC" w:rsidRPr="00420307">
        <w:rPr>
          <w:rFonts w:asciiTheme="minorEastAsia" w:hAnsiTheme="minorEastAsia" w:hint="eastAsia"/>
          <w:szCs w:val="24"/>
        </w:rPr>
        <w:t>(3), 86-107. doi:10.6249/se.2012.63.3.06</w:t>
      </w:r>
    </w:p>
    <w:p w:rsidR="00494EDC" w:rsidRPr="00420307" w:rsidRDefault="00494EDC" w:rsidP="00494EDC">
      <w:pPr>
        <w:pStyle w:val="EndNoteBibliography"/>
        <w:ind w:left="720" w:hanging="720"/>
        <w:rPr>
          <w:rFonts w:asciiTheme="minorEastAsia" w:hAnsiTheme="minorEastAsia"/>
          <w:szCs w:val="24"/>
        </w:rPr>
      </w:pPr>
      <w:r w:rsidRPr="00420307">
        <w:rPr>
          <w:rFonts w:asciiTheme="minorEastAsia" w:hAnsiTheme="minorEastAsia" w:hint="eastAsia"/>
          <w:szCs w:val="24"/>
        </w:rPr>
        <w:t xml:space="preserve">邱然偉, 蔣孟岑, 謝宛穎, 陳建萱, &amp; 李佩怡. (2019). 「玩出自我曼陀羅－大學生自我探索成長團體」之團體經驗與反思. </w:t>
      </w:r>
      <w:r w:rsidRPr="00420307">
        <w:rPr>
          <w:rFonts w:asciiTheme="minorEastAsia" w:hAnsiTheme="minorEastAsia" w:hint="eastAsia"/>
          <w:i/>
          <w:szCs w:val="24"/>
        </w:rPr>
        <w:t>諮商與輔導</w:t>
      </w:r>
      <w:r w:rsidRPr="00420307">
        <w:rPr>
          <w:rFonts w:asciiTheme="minorEastAsia" w:hAnsiTheme="minorEastAsia" w:hint="eastAsia"/>
          <w:szCs w:val="24"/>
        </w:rPr>
        <w:t>(406</w:t>
      </w:r>
      <w:r w:rsidRPr="00420307">
        <w:rPr>
          <w:rFonts w:asciiTheme="minorEastAsia" w:hAnsiTheme="minorEastAsia"/>
          <w:szCs w:val="24"/>
        </w:rPr>
        <w:t xml:space="preserve">), 5-11+27. </w:t>
      </w:r>
    </w:p>
    <w:p w:rsidR="000743D2" w:rsidRPr="00420307" w:rsidRDefault="0079628F">
      <w:pPr>
        <w:rPr>
          <w:rFonts w:asciiTheme="minorEastAsia" w:hAnsiTheme="minorEastAsia"/>
          <w:szCs w:val="24"/>
        </w:rPr>
      </w:pPr>
      <w:r w:rsidRPr="00420307">
        <w:rPr>
          <w:rFonts w:asciiTheme="minorEastAsia" w:hAnsiTheme="minorEastAsia"/>
          <w:szCs w:val="24"/>
        </w:rPr>
        <w:fldChar w:fldCharType="end"/>
      </w:r>
    </w:p>
    <w:sectPr w:rsidR="000743D2" w:rsidRPr="0042030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715E03"/>
    <w:multiLevelType w:val="multilevel"/>
    <w:tmpl w:val="BC1E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2vvze9z49vsspepdv8vvxaz5dt2a52r0wpw&quot;&gt;My EndNote Library&lt;record-ids&gt;&lt;item&gt;148&lt;/item&gt;&lt;item&gt;149&lt;/item&gt;&lt;/record-ids&gt;&lt;/item&gt;&lt;/Libraries&gt;"/>
  </w:docVars>
  <w:rsids>
    <w:rsidRoot w:val="006D4203"/>
    <w:rsid w:val="000249F7"/>
    <w:rsid w:val="000743D2"/>
    <w:rsid w:val="00197EED"/>
    <w:rsid w:val="00420307"/>
    <w:rsid w:val="00494EDC"/>
    <w:rsid w:val="004D7DDF"/>
    <w:rsid w:val="005221C1"/>
    <w:rsid w:val="005C07F7"/>
    <w:rsid w:val="005D6A59"/>
    <w:rsid w:val="00676645"/>
    <w:rsid w:val="006D4203"/>
    <w:rsid w:val="00784C62"/>
    <w:rsid w:val="0079628F"/>
    <w:rsid w:val="0088799D"/>
    <w:rsid w:val="00934337"/>
    <w:rsid w:val="00A7463C"/>
    <w:rsid w:val="00B162C0"/>
    <w:rsid w:val="00B94B64"/>
    <w:rsid w:val="00C77D79"/>
    <w:rsid w:val="00C8494D"/>
    <w:rsid w:val="00D61F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6D4203"/>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6D4203"/>
    <w:rPr>
      <w:rFonts w:ascii="新細明體" w:eastAsia="新細明體" w:hAnsi="新細明體" w:cs="新細明體"/>
      <w:b/>
      <w:bCs/>
      <w:kern w:val="0"/>
      <w:sz w:val="27"/>
      <w:szCs w:val="27"/>
    </w:rPr>
  </w:style>
  <w:style w:type="paragraph" w:styleId="Web">
    <w:name w:val="Normal (Web)"/>
    <w:basedOn w:val="a"/>
    <w:uiPriority w:val="99"/>
    <w:unhideWhenUsed/>
    <w:rsid w:val="006D4203"/>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6D4203"/>
    <w:rPr>
      <w:b/>
      <w:bCs/>
    </w:rPr>
  </w:style>
  <w:style w:type="paragraph" w:customStyle="1" w:styleId="EndNoteBibliographyTitle">
    <w:name w:val="EndNote Bibliography Title"/>
    <w:basedOn w:val="a"/>
    <w:link w:val="EndNoteBibliographyTitle0"/>
    <w:rsid w:val="0079628F"/>
    <w:pPr>
      <w:jc w:val="center"/>
    </w:pPr>
    <w:rPr>
      <w:rFonts w:ascii="Calibri" w:hAnsi="Calibri" w:cs="Calibri"/>
      <w:noProof/>
    </w:rPr>
  </w:style>
  <w:style w:type="character" w:customStyle="1" w:styleId="EndNoteBibliographyTitle0">
    <w:name w:val="EndNote Bibliography Title 字元"/>
    <w:basedOn w:val="a0"/>
    <w:link w:val="EndNoteBibliographyTitle"/>
    <w:rsid w:val="0079628F"/>
    <w:rPr>
      <w:rFonts w:ascii="Calibri" w:hAnsi="Calibri" w:cs="Calibri"/>
      <w:noProof/>
    </w:rPr>
  </w:style>
  <w:style w:type="paragraph" w:customStyle="1" w:styleId="EndNoteBibliography">
    <w:name w:val="EndNote Bibliography"/>
    <w:basedOn w:val="a"/>
    <w:link w:val="EndNoteBibliography0"/>
    <w:rsid w:val="0079628F"/>
    <w:rPr>
      <w:rFonts w:ascii="Calibri" w:hAnsi="Calibri" w:cs="Calibri"/>
      <w:noProof/>
    </w:rPr>
  </w:style>
  <w:style w:type="character" w:customStyle="1" w:styleId="EndNoteBibliography0">
    <w:name w:val="EndNote Bibliography 字元"/>
    <w:basedOn w:val="a0"/>
    <w:link w:val="EndNoteBibliography"/>
    <w:rsid w:val="0079628F"/>
    <w:rPr>
      <w:rFonts w:ascii="Calibri" w:hAnsi="Calibri" w:cs="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6D4203"/>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6D4203"/>
    <w:rPr>
      <w:rFonts w:ascii="新細明體" w:eastAsia="新細明體" w:hAnsi="新細明體" w:cs="新細明體"/>
      <w:b/>
      <w:bCs/>
      <w:kern w:val="0"/>
      <w:sz w:val="27"/>
      <w:szCs w:val="27"/>
    </w:rPr>
  </w:style>
  <w:style w:type="paragraph" w:styleId="Web">
    <w:name w:val="Normal (Web)"/>
    <w:basedOn w:val="a"/>
    <w:uiPriority w:val="99"/>
    <w:unhideWhenUsed/>
    <w:rsid w:val="006D4203"/>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6D4203"/>
    <w:rPr>
      <w:b/>
      <w:bCs/>
    </w:rPr>
  </w:style>
  <w:style w:type="paragraph" w:customStyle="1" w:styleId="EndNoteBibliographyTitle">
    <w:name w:val="EndNote Bibliography Title"/>
    <w:basedOn w:val="a"/>
    <w:link w:val="EndNoteBibliographyTitle0"/>
    <w:rsid w:val="0079628F"/>
    <w:pPr>
      <w:jc w:val="center"/>
    </w:pPr>
    <w:rPr>
      <w:rFonts w:ascii="Calibri" w:hAnsi="Calibri" w:cs="Calibri"/>
      <w:noProof/>
    </w:rPr>
  </w:style>
  <w:style w:type="character" w:customStyle="1" w:styleId="EndNoteBibliographyTitle0">
    <w:name w:val="EndNote Bibliography Title 字元"/>
    <w:basedOn w:val="a0"/>
    <w:link w:val="EndNoteBibliographyTitle"/>
    <w:rsid w:val="0079628F"/>
    <w:rPr>
      <w:rFonts w:ascii="Calibri" w:hAnsi="Calibri" w:cs="Calibri"/>
      <w:noProof/>
    </w:rPr>
  </w:style>
  <w:style w:type="paragraph" w:customStyle="1" w:styleId="EndNoteBibliography">
    <w:name w:val="EndNote Bibliography"/>
    <w:basedOn w:val="a"/>
    <w:link w:val="EndNoteBibliography0"/>
    <w:rsid w:val="0079628F"/>
    <w:rPr>
      <w:rFonts w:ascii="Calibri" w:hAnsi="Calibri" w:cs="Calibri"/>
      <w:noProof/>
    </w:rPr>
  </w:style>
  <w:style w:type="character" w:customStyle="1" w:styleId="EndNoteBibliography0">
    <w:name w:val="EndNote Bibliography 字元"/>
    <w:basedOn w:val="a0"/>
    <w:link w:val="EndNoteBibliography"/>
    <w:rsid w:val="0079628F"/>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4352">
      <w:bodyDiv w:val="1"/>
      <w:marLeft w:val="0"/>
      <w:marRight w:val="0"/>
      <w:marTop w:val="0"/>
      <w:marBottom w:val="0"/>
      <w:divBdr>
        <w:top w:val="none" w:sz="0" w:space="0" w:color="auto"/>
        <w:left w:val="none" w:sz="0" w:space="0" w:color="auto"/>
        <w:bottom w:val="none" w:sz="0" w:space="0" w:color="auto"/>
        <w:right w:val="none" w:sz="0" w:space="0" w:color="auto"/>
      </w:divBdr>
    </w:div>
    <w:div w:id="91172004">
      <w:bodyDiv w:val="1"/>
      <w:marLeft w:val="0"/>
      <w:marRight w:val="0"/>
      <w:marTop w:val="0"/>
      <w:marBottom w:val="0"/>
      <w:divBdr>
        <w:top w:val="none" w:sz="0" w:space="0" w:color="auto"/>
        <w:left w:val="none" w:sz="0" w:space="0" w:color="auto"/>
        <w:bottom w:val="none" w:sz="0" w:space="0" w:color="auto"/>
        <w:right w:val="none" w:sz="0" w:space="0" w:color="auto"/>
      </w:divBdr>
    </w:div>
    <w:div w:id="191450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501</Words>
  <Characters>2856</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楊立慈</dc:creator>
  <cp:lastModifiedBy>楊立慈</cp:lastModifiedBy>
  <cp:revision>13</cp:revision>
  <dcterms:created xsi:type="dcterms:W3CDTF">2024-09-13T06:21:00Z</dcterms:created>
  <dcterms:modified xsi:type="dcterms:W3CDTF">2024-09-13T09:22:00Z</dcterms:modified>
</cp:coreProperties>
</file>