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EC91" w14:textId="11E8C853" w:rsidR="006A4DB4" w:rsidRPr="00595199" w:rsidRDefault="00DB22D1" w:rsidP="00277786">
      <w:pPr>
        <w:spacing w:before="240" w:after="240"/>
        <w:jc w:val="center"/>
        <w:rPr>
          <w:rFonts w:ascii="PMingLiU" w:eastAsiaTheme="minorEastAsia" w:hAnsi="PMingLiU" w:cs="Times New Roman"/>
          <w:b/>
          <w:bCs/>
          <w:sz w:val="32"/>
          <w:szCs w:val="32"/>
          <w:lang w:val="en-MY"/>
        </w:rPr>
      </w:pPr>
      <w:r w:rsidRPr="00595199">
        <w:rPr>
          <w:rFonts w:ascii="PMingLiU" w:eastAsia="PMingLiU" w:hAnsi="PMingLiU" w:cs="Gungsuh" w:hint="eastAsia"/>
          <w:b/>
          <w:bCs/>
          <w:sz w:val="32"/>
          <w:szCs w:val="32"/>
        </w:rPr>
        <w:t>從</w:t>
      </w:r>
      <w:r w:rsidR="00D8413C" w:rsidRPr="00595199">
        <w:rPr>
          <w:rFonts w:ascii="PMingLiU" w:eastAsia="PMingLiU" w:hAnsi="PMingLiU" w:cs="Gungsuh" w:hint="eastAsia"/>
          <w:b/>
          <w:bCs/>
          <w:sz w:val="32"/>
          <w:szCs w:val="32"/>
        </w:rPr>
        <w:t>我到我們：從依附關係</w:t>
      </w:r>
      <w:r w:rsidR="00DC0F5B" w:rsidRPr="00595199">
        <w:rPr>
          <w:rFonts w:ascii="PMingLiU" w:eastAsia="PMingLiU" w:hAnsi="PMingLiU" w:cs="Gungsuh" w:hint="eastAsia"/>
          <w:b/>
          <w:bCs/>
          <w:sz w:val="32"/>
          <w:szCs w:val="32"/>
        </w:rPr>
        <w:t>重建團體</w:t>
      </w:r>
    </w:p>
    <w:p w14:paraId="0A135264" w14:textId="4157A782" w:rsidR="006A4DB4" w:rsidRPr="00DC0F5B" w:rsidRDefault="00000000" w:rsidP="00277786">
      <w:pPr>
        <w:spacing w:before="240" w:after="240"/>
        <w:jc w:val="center"/>
        <w:rPr>
          <w:rFonts w:ascii="PMingLiU" w:eastAsia="PMingLiU" w:hAnsi="PMingLiU" w:cs="Times New Roman"/>
          <w:sz w:val="24"/>
          <w:szCs w:val="24"/>
          <w:vertAlign w:val="superscript"/>
        </w:rPr>
      </w:pPr>
      <w:r w:rsidRPr="00DC0F5B">
        <w:rPr>
          <w:rFonts w:ascii="PMingLiU" w:eastAsia="PMingLiU" w:hAnsi="PMingLiU" w:cs="Gungsuh"/>
          <w:sz w:val="24"/>
          <w:szCs w:val="24"/>
        </w:rPr>
        <w:t>王欣茹</w:t>
      </w:r>
      <w:r w:rsidR="000268B8" w:rsidRPr="00DC0F5B">
        <w:rPr>
          <w:rFonts w:ascii="PMingLiU" w:eastAsia="PMingLiU" w:hAnsi="PMingLiU" w:cs="Times New Roman" w:hint="eastAsia"/>
          <w:sz w:val="24"/>
          <w:szCs w:val="24"/>
          <w:vertAlign w:val="superscript"/>
        </w:rPr>
        <w:t xml:space="preserve">1 </w:t>
      </w:r>
      <w:r w:rsidR="000268B8" w:rsidRPr="00DC0F5B">
        <w:rPr>
          <w:rFonts w:ascii="PMingLiU" w:eastAsia="PMingLiU" w:hAnsi="PMingLiU" w:cs="Gungsuh"/>
          <w:sz w:val="24"/>
          <w:szCs w:val="24"/>
        </w:rPr>
        <w:t>江宜諭</w:t>
      </w:r>
      <w:r w:rsidR="000268B8" w:rsidRPr="00DC0F5B">
        <w:rPr>
          <w:rFonts w:ascii="PMingLiU" w:eastAsia="PMingLiU" w:hAnsi="PMingLiU" w:cs="Times New Roman" w:hint="eastAsia"/>
          <w:sz w:val="24"/>
          <w:szCs w:val="24"/>
          <w:vertAlign w:val="superscript"/>
        </w:rPr>
        <w:t xml:space="preserve">2 </w:t>
      </w:r>
      <w:r w:rsidR="000268B8" w:rsidRPr="00DC0F5B">
        <w:rPr>
          <w:rFonts w:ascii="PMingLiU" w:eastAsia="PMingLiU" w:hAnsi="PMingLiU" w:cs="Gungsuh"/>
          <w:sz w:val="24"/>
          <w:szCs w:val="24"/>
        </w:rPr>
        <w:t>林紘晟</w:t>
      </w:r>
      <w:r w:rsidR="000268B8" w:rsidRPr="00DC0F5B">
        <w:rPr>
          <w:rFonts w:ascii="PMingLiU" w:eastAsia="PMingLiU" w:hAnsi="PMingLiU" w:cs="Times New Roman" w:hint="eastAsia"/>
          <w:sz w:val="24"/>
          <w:szCs w:val="24"/>
          <w:vertAlign w:val="superscript"/>
        </w:rPr>
        <w:t>1</w:t>
      </w:r>
      <w:r w:rsidR="000268B8" w:rsidRPr="00DC0F5B">
        <w:rPr>
          <w:rFonts w:ascii="PMingLiU" w:eastAsia="PMingLiU" w:hAnsi="PMingLiU" w:cs="Gungsuh" w:hint="eastAsia"/>
          <w:sz w:val="24"/>
          <w:szCs w:val="24"/>
        </w:rPr>
        <w:t xml:space="preserve"> </w:t>
      </w:r>
      <w:r w:rsidRPr="00DC0F5B">
        <w:rPr>
          <w:rFonts w:ascii="PMingLiU" w:eastAsia="PMingLiU" w:hAnsi="PMingLiU" w:cs="Gungsuh"/>
          <w:sz w:val="24"/>
          <w:szCs w:val="24"/>
        </w:rPr>
        <w:t>黎士鳴</w:t>
      </w:r>
      <w:r w:rsidR="000268B8" w:rsidRPr="00DC0F5B">
        <w:rPr>
          <w:rFonts w:ascii="PMingLiU" w:eastAsia="PMingLiU" w:hAnsi="PMingLiU" w:cs="Times New Roman" w:hint="eastAsia"/>
          <w:sz w:val="24"/>
          <w:szCs w:val="24"/>
          <w:vertAlign w:val="superscript"/>
        </w:rPr>
        <w:t>1</w:t>
      </w:r>
    </w:p>
    <w:p w14:paraId="5C70018A" w14:textId="43F501BC" w:rsidR="000268B8" w:rsidRPr="00DC0F5B" w:rsidRDefault="000268B8" w:rsidP="00277786">
      <w:pPr>
        <w:spacing w:before="240" w:after="240"/>
        <w:jc w:val="center"/>
        <w:rPr>
          <w:rFonts w:ascii="PMingLiU" w:eastAsia="PMingLiU" w:hAnsi="PMingLiU" w:cs="Gungsuh"/>
          <w:sz w:val="24"/>
          <w:szCs w:val="24"/>
        </w:rPr>
      </w:pPr>
      <w:r w:rsidRPr="00DC0F5B">
        <w:rPr>
          <w:rFonts w:ascii="PMingLiU" w:eastAsia="PMingLiU" w:hAnsi="PMingLiU" w:cs="Times New Roman" w:hint="eastAsia"/>
          <w:sz w:val="24"/>
          <w:szCs w:val="24"/>
          <w:vertAlign w:val="superscript"/>
        </w:rPr>
        <w:t>1</w:t>
      </w:r>
      <w:r w:rsidRPr="00DC0F5B">
        <w:rPr>
          <w:rFonts w:ascii="PMingLiU" w:eastAsia="PMingLiU" w:hAnsi="PMingLiU" w:cs="Gungsuh"/>
          <w:sz w:val="24"/>
          <w:szCs w:val="24"/>
        </w:rPr>
        <w:t>國立東華大學諮商與臨床心理學系</w:t>
      </w:r>
    </w:p>
    <w:p w14:paraId="0628B71F" w14:textId="1456C6E3" w:rsidR="000268B8" w:rsidRPr="00DC0F5B" w:rsidRDefault="000268B8" w:rsidP="00277786">
      <w:pPr>
        <w:spacing w:before="240" w:after="240"/>
        <w:jc w:val="center"/>
        <w:rPr>
          <w:rFonts w:ascii="PMingLiU" w:eastAsia="PMingLiU" w:hAnsi="PMingLiU" w:cs="Gungsuh"/>
          <w:sz w:val="24"/>
          <w:szCs w:val="24"/>
        </w:rPr>
      </w:pPr>
      <w:r w:rsidRPr="00DC0F5B">
        <w:rPr>
          <w:rFonts w:ascii="PMingLiU" w:eastAsia="PMingLiU" w:hAnsi="PMingLiU" w:cs="Times New Roman" w:hint="eastAsia"/>
          <w:sz w:val="24"/>
          <w:szCs w:val="24"/>
          <w:vertAlign w:val="superscript"/>
        </w:rPr>
        <w:t>2</w:t>
      </w:r>
      <w:r w:rsidRPr="00DC0F5B">
        <w:rPr>
          <w:rFonts w:ascii="PMingLiU" w:eastAsia="PMingLiU" w:hAnsi="PMingLiU" w:cs="Gungsuh" w:hint="eastAsia"/>
          <w:sz w:val="24"/>
          <w:szCs w:val="24"/>
        </w:rPr>
        <w:t>高雄醫學大學</w:t>
      </w:r>
      <w:r w:rsidRPr="00DC0F5B">
        <w:rPr>
          <w:rFonts w:ascii="PMingLiU" w:eastAsia="PMingLiU" w:hAnsi="PMingLiU" w:cs="Gungsuh"/>
          <w:sz w:val="24"/>
          <w:szCs w:val="24"/>
        </w:rPr>
        <w:t>心理學系</w:t>
      </w:r>
    </w:p>
    <w:p w14:paraId="54F70A41" w14:textId="53070860" w:rsidR="00290A9E" w:rsidRPr="00DC0F5B" w:rsidRDefault="00DC0F5B" w:rsidP="00EB32AA">
      <w:pPr>
        <w:spacing w:before="240" w:after="240"/>
        <w:rPr>
          <w:rFonts w:ascii="PMingLiU" w:eastAsia="PMingLiU" w:hAnsi="PMingLiU" w:cs="Gungsuh"/>
          <w:b/>
          <w:bCs/>
          <w:sz w:val="24"/>
          <w:szCs w:val="24"/>
        </w:rPr>
      </w:pPr>
      <w:r w:rsidRPr="00DC0F5B">
        <w:rPr>
          <w:rFonts w:ascii="PMingLiU" w:eastAsia="PMingLiU" w:hAnsi="PMingLiU" w:cs="Gungsuh" w:hint="eastAsia"/>
          <w:b/>
          <w:bCs/>
          <w:sz w:val="24"/>
          <w:szCs w:val="24"/>
        </w:rPr>
        <w:t>研究背景：</w:t>
      </w:r>
    </w:p>
    <w:p w14:paraId="22F6936F" w14:textId="50F146FD" w:rsidR="00EB32AA" w:rsidRPr="00AB7A2E" w:rsidRDefault="00875951" w:rsidP="00724AC8">
      <w:pPr>
        <w:spacing w:before="240" w:after="240"/>
        <w:ind w:firstLine="720"/>
        <w:jc w:val="both"/>
        <w:rPr>
          <w:rFonts w:ascii="PMingLiU" w:eastAsia="PMingLiU" w:hAnsi="PMingLiU" w:cs="Gungsuh"/>
          <w:sz w:val="24"/>
          <w:szCs w:val="24"/>
          <w:lang w:val="en-US" w:eastAsia="zh-TW"/>
        </w:rPr>
      </w:pPr>
      <w:r w:rsidRPr="00277786">
        <w:rPr>
          <w:rFonts w:ascii="PMingLiU" w:eastAsia="PMingLiU" w:hAnsi="PMingLiU" w:cs="Times New Roman"/>
          <w:sz w:val="24"/>
          <w:szCs w:val="24"/>
        </w:rPr>
        <w:t>Bowby的依附理論（Attachment Theory）</w:t>
      </w:r>
      <w:r>
        <w:rPr>
          <w:rFonts w:ascii="PMingLiU" w:eastAsia="PMingLiU" w:hAnsi="PMingLiU" w:cs="Times New Roman" w:hint="eastAsia"/>
          <w:sz w:val="24"/>
          <w:szCs w:val="24"/>
        </w:rPr>
        <w:t>認為</w:t>
      </w:r>
      <w:r w:rsidRPr="00DC0F5B">
        <w:rPr>
          <w:rFonts w:ascii="PMingLiU" w:eastAsia="PMingLiU" w:hAnsi="PMingLiU" w:cs="Gungsuh"/>
          <w:sz w:val="24"/>
          <w:szCs w:val="24"/>
        </w:rPr>
        <w:t>依附關係起源於與童年重要他人的互動經驗</w:t>
      </w:r>
      <w:r>
        <w:rPr>
          <w:rFonts w:ascii="PMingLiU" w:eastAsia="PMingLiU" w:hAnsi="PMingLiU" w:cs="Times New Roman" w:hint="eastAsia"/>
          <w:sz w:val="24"/>
          <w:szCs w:val="24"/>
        </w:rPr>
        <w:t>（</w:t>
      </w:r>
      <w:r w:rsidRPr="00277786">
        <w:rPr>
          <w:rFonts w:ascii="PMingLiU" w:eastAsia="PMingLiU" w:hAnsi="PMingLiU" w:cs="Times New Roman"/>
          <w:sz w:val="24"/>
          <w:szCs w:val="24"/>
        </w:rPr>
        <w:t>Bowby</w:t>
      </w:r>
      <w:r>
        <w:rPr>
          <w:rFonts w:ascii="PMingLiU" w:eastAsia="PMingLiU" w:hAnsi="PMingLiU" w:cs="Times New Roman" w:hint="eastAsia"/>
          <w:sz w:val="24"/>
          <w:szCs w:val="24"/>
        </w:rPr>
        <w:t>，</w:t>
      </w:r>
      <w:r>
        <w:rPr>
          <w:rFonts w:ascii="PMingLiU" w:eastAsia="PMingLiU" w:hAnsi="PMingLiU" w:cs="Times New Roman" w:hint="eastAsia"/>
          <w:sz w:val="24"/>
          <w:szCs w:val="24"/>
          <w:lang w:eastAsia="zh-TW"/>
        </w:rPr>
        <w:t>1969</w:t>
      </w:r>
      <w:r>
        <w:rPr>
          <w:rFonts w:ascii="PMingLiU" w:eastAsia="PMingLiU" w:hAnsi="PMingLiU" w:cs="Times New Roman" w:hint="eastAsia"/>
          <w:sz w:val="24"/>
          <w:szCs w:val="24"/>
        </w:rPr>
        <w:t>）</w:t>
      </w:r>
      <w:r w:rsidRPr="00DC0F5B">
        <w:rPr>
          <w:rFonts w:ascii="PMingLiU" w:eastAsia="PMingLiU" w:hAnsi="PMingLiU" w:cs="Gungsuh"/>
          <w:sz w:val="24"/>
          <w:szCs w:val="24"/>
        </w:rPr>
        <w:t>。依附關係一方面影響我們內在的自我與他人形象，同時也影響我們在生活中的安全與不安全感受，以及面對不安全時刻的求助方式</w:t>
      </w:r>
      <w:r w:rsidR="00DC0F5B" w:rsidRPr="00DC0F5B">
        <w:rPr>
          <w:rFonts w:ascii="PMingLiU" w:eastAsia="PMingLiU" w:hAnsi="PMingLiU" w:cs="Gungsuh" w:hint="eastAsia"/>
          <w:b/>
          <w:bCs/>
          <w:sz w:val="24"/>
          <w:szCs w:val="24"/>
        </w:rPr>
        <w:t>。</w:t>
      </w:r>
      <w:r w:rsidR="004448B8" w:rsidRPr="004448B8">
        <w:rPr>
          <w:rFonts w:ascii="PMingLiU" w:eastAsia="PMingLiU" w:hAnsi="PMingLiU" w:cs="Gungsuh" w:hint="eastAsia"/>
          <w:sz w:val="24"/>
          <w:szCs w:val="24"/>
        </w:rPr>
        <w:t>而非安全型的依附關係</w:t>
      </w:r>
      <w:r w:rsidR="004448B8">
        <w:rPr>
          <w:rFonts w:ascii="PMingLiU" w:eastAsia="PMingLiU" w:hAnsi="PMingLiU" w:cs="Gungsuh" w:hint="eastAsia"/>
          <w:sz w:val="24"/>
          <w:szCs w:val="24"/>
        </w:rPr>
        <w:t>可能與安全感較低、自我效能較低及生活滿意度較低有關（陳婉諭、王美玲與吳建明，</w:t>
      </w:r>
      <w:r w:rsidR="00045A54">
        <w:rPr>
          <w:rFonts w:ascii="PMingLiU" w:eastAsia="PMingLiU" w:hAnsi="PMingLiU" w:cs="Gungsuh" w:hint="eastAsia"/>
          <w:sz w:val="24"/>
          <w:szCs w:val="24"/>
          <w:lang w:val="en-US" w:eastAsia="zh-TW"/>
        </w:rPr>
        <w:t>2017</w:t>
      </w:r>
      <w:r w:rsidR="004448B8">
        <w:rPr>
          <w:rFonts w:ascii="PMingLiU" w:eastAsia="PMingLiU" w:hAnsi="PMingLiU" w:cs="Gungsuh" w:hint="eastAsia"/>
          <w:sz w:val="24"/>
          <w:szCs w:val="24"/>
        </w:rPr>
        <w:t>）</w:t>
      </w:r>
      <w:r w:rsidR="00045A54">
        <w:rPr>
          <w:rFonts w:ascii="PMingLiU" w:eastAsia="PMingLiU" w:hAnsi="PMingLiU" w:cs="Gungsuh" w:hint="eastAsia"/>
          <w:sz w:val="24"/>
          <w:szCs w:val="24"/>
        </w:rPr>
        <w:t>。</w:t>
      </w:r>
      <w:r w:rsidR="00EE4467">
        <w:rPr>
          <w:rFonts w:ascii="PMingLiU" w:eastAsia="PMingLiU" w:hAnsi="PMingLiU" w:cs="Gungsuh" w:hint="eastAsia"/>
          <w:sz w:val="24"/>
          <w:szCs w:val="24"/>
          <w:lang w:eastAsia="zh-TW"/>
        </w:rPr>
        <w:t>現有研究討論依附關係與愛情態度之關係（李存恩，2014），</w:t>
      </w:r>
      <w:r w:rsidR="00EE4467">
        <w:rPr>
          <w:rFonts w:ascii="PMingLiU" w:eastAsia="PMingLiU" w:hAnsi="PMingLiU" w:cs="Gungsuh" w:hint="eastAsia"/>
          <w:sz w:val="24"/>
          <w:szCs w:val="24"/>
          <w:lang w:val="en-US" w:eastAsia="zh-TW"/>
        </w:rPr>
        <w:t>顯示</w:t>
      </w:r>
      <w:r w:rsidR="00AB7A2E">
        <w:rPr>
          <w:rFonts w:ascii="PMingLiU" w:eastAsia="PMingLiU" w:hAnsi="PMingLiU" w:cs="Gungsuh" w:hint="eastAsia"/>
          <w:sz w:val="24"/>
          <w:szCs w:val="24"/>
          <w:lang w:val="en-US" w:eastAsia="zh-TW"/>
        </w:rPr>
        <w:t>童年與主要照顧者的依附關係，在成人階段也有所關聯。</w:t>
      </w:r>
    </w:p>
    <w:p w14:paraId="5C92D68E" w14:textId="77777777" w:rsidR="00DC0F5B" w:rsidRPr="00DC0F5B" w:rsidRDefault="00DC0F5B" w:rsidP="00290A9E">
      <w:pPr>
        <w:spacing w:before="240" w:after="240"/>
        <w:rPr>
          <w:rFonts w:ascii="PMingLiU" w:eastAsia="PMingLiU" w:hAnsi="PMingLiU" w:cs="Gungsuh"/>
          <w:sz w:val="24"/>
          <w:szCs w:val="24"/>
          <w:lang w:eastAsia="zh-TW"/>
        </w:rPr>
      </w:pPr>
      <w:r w:rsidRPr="00DC0F5B">
        <w:rPr>
          <w:rFonts w:ascii="PMingLiU" w:eastAsia="PMingLiU" w:hAnsi="PMingLiU" w:cs="Gungsuh" w:hint="eastAsia"/>
          <w:b/>
          <w:bCs/>
          <w:sz w:val="24"/>
          <w:szCs w:val="24"/>
          <w:lang w:eastAsia="zh-TW"/>
        </w:rPr>
        <w:t>研究目的：</w:t>
      </w:r>
    </w:p>
    <w:p w14:paraId="4A7D1594" w14:textId="4C0556A6" w:rsidR="00DC0F5B" w:rsidRPr="00DC0F5B" w:rsidRDefault="00DC0F5B" w:rsidP="00290A9E">
      <w:pPr>
        <w:spacing w:before="240" w:after="240"/>
        <w:rPr>
          <w:rFonts w:ascii="PMingLiU" w:eastAsia="PMingLiU" w:hAnsi="PMingLiU" w:cs="Gungsuh"/>
          <w:sz w:val="24"/>
          <w:szCs w:val="24"/>
          <w:lang w:eastAsia="zh-TW"/>
        </w:rPr>
      </w:pPr>
      <w:r w:rsidRPr="00DC0F5B">
        <w:rPr>
          <w:rFonts w:ascii="PMingLiU" w:eastAsia="PMingLiU" w:hAnsi="PMingLiU" w:cs="Gungsuh"/>
          <w:sz w:val="24"/>
          <w:szCs w:val="24"/>
          <w:lang w:eastAsia="zh-TW"/>
        </w:rPr>
        <w:tab/>
      </w:r>
      <w:r w:rsidRPr="00DC0F5B">
        <w:rPr>
          <w:rFonts w:ascii="PMingLiU" w:eastAsia="PMingLiU" w:hAnsi="PMingLiU" w:cs="Gungsuh" w:hint="eastAsia"/>
          <w:sz w:val="24"/>
          <w:szCs w:val="24"/>
          <w:lang w:eastAsia="zh-TW"/>
        </w:rPr>
        <w:t>認識自身的依附關係且從團體中重建安全依附感。</w:t>
      </w:r>
    </w:p>
    <w:p w14:paraId="13AE484B" w14:textId="08B0DCC0" w:rsidR="00EB32AA" w:rsidRPr="00DC0F5B" w:rsidRDefault="00EB32AA" w:rsidP="00290A9E">
      <w:pPr>
        <w:spacing w:before="240" w:after="240"/>
        <w:rPr>
          <w:rFonts w:ascii="PMingLiU" w:eastAsia="PMingLiU" w:hAnsi="PMingLiU" w:cs="Gungsuh"/>
          <w:b/>
          <w:bCs/>
          <w:sz w:val="24"/>
          <w:szCs w:val="24"/>
          <w:lang w:eastAsia="zh-TW"/>
        </w:rPr>
      </w:pPr>
      <w:r w:rsidRPr="00DC0F5B">
        <w:rPr>
          <w:rFonts w:ascii="PMingLiU" w:eastAsia="PMingLiU" w:hAnsi="PMingLiU" w:cs="Gungsuh" w:hint="eastAsia"/>
          <w:b/>
          <w:bCs/>
          <w:sz w:val="24"/>
          <w:szCs w:val="24"/>
          <w:lang w:eastAsia="zh-TW"/>
        </w:rPr>
        <w:t>研究</w:t>
      </w:r>
      <w:r w:rsidR="00290A9E" w:rsidRPr="00DC0F5B">
        <w:rPr>
          <w:rFonts w:ascii="PMingLiU" w:eastAsia="PMingLiU" w:hAnsi="PMingLiU" w:cs="Gungsuh" w:hint="eastAsia"/>
          <w:b/>
          <w:bCs/>
          <w:sz w:val="24"/>
          <w:szCs w:val="24"/>
          <w:lang w:eastAsia="zh-TW"/>
        </w:rPr>
        <w:t>方法</w:t>
      </w:r>
      <w:r w:rsidR="00DC0F5B" w:rsidRPr="00DC0F5B">
        <w:rPr>
          <w:rFonts w:ascii="PMingLiU" w:eastAsia="PMingLiU" w:hAnsi="PMingLiU" w:cs="Gungsuh" w:hint="eastAsia"/>
          <w:b/>
          <w:bCs/>
          <w:sz w:val="24"/>
          <w:szCs w:val="24"/>
          <w:lang w:eastAsia="zh-TW"/>
        </w:rPr>
        <w:t>：</w:t>
      </w:r>
    </w:p>
    <w:p w14:paraId="11AA0D2C" w14:textId="5ED40AC6" w:rsidR="00290A9E" w:rsidRPr="00DC0F5B" w:rsidRDefault="00290A9E" w:rsidP="00290A9E">
      <w:pPr>
        <w:rPr>
          <w:rFonts w:ascii="PMingLiU" w:eastAsia="PMingLiU" w:hAnsi="PMingLiU"/>
          <w:i/>
          <w:iCs/>
          <w:sz w:val="24"/>
          <w:szCs w:val="24"/>
          <w:lang w:eastAsia="zh-TW"/>
        </w:rPr>
      </w:pPr>
      <w:r w:rsidRPr="00DC0F5B">
        <w:rPr>
          <w:rFonts w:ascii="PMingLiU" w:eastAsia="PMingLiU" w:hAnsi="PMingLiU" w:hint="eastAsia"/>
          <w:i/>
          <w:iCs/>
          <w:sz w:val="24"/>
          <w:szCs w:val="24"/>
          <w:lang w:eastAsia="zh-TW"/>
        </w:rPr>
        <w:t>1.方案設計</w:t>
      </w:r>
    </w:p>
    <w:p w14:paraId="31356E81" w14:textId="6589FCC1" w:rsidR="00A45A8A" w:rsidRPr="00277786" w:rsidRDefault="00290A9E" w:rsidP="00290A9E">
      <w:pPr>
        <w:spacing w:before="240" w:after="240"/>
        <w:rPr>
          <w:rFonts w:ascii="PMingLiU" w:eastAsia="PMingLiU" w:hAnsi="PMingLiU" w:cs="Times New Roman"/>
          <w:sz w:val="24"/>
          <w:szCs w:val="24"/>
          <w:lang w:eastAsia="zh-TW"/>
        </w:rPr>
      </w:pPr>
      <w:r w:rsidRPr="00DC0F5B">
        <w:rPr>
          <w:rFonts w:ascii="PMingLiU" w:eastAsia="PMingLiU" w:hAnsi="PMingLiU" w:cs="Gungsuh"/>
          <w:sz w:val="24"/>
          <w:szCs w:val="24"/>
          <w:lang w:eastAsia="zh-TW"/>
        </w:rPr>
        <w:tab/>
      </w:r>
      <w:r w:rsidRPr="00277786">
        <w:rPr>
          <w:rFonts w:ascii="PMingLiU" w:eastAsia="PMingLiU" w:hAnsi="PMingLiU" w:cs="Times New Roman"/>
          <w:sz w:val="24"/>
          <w:szCs w:val="24"/>
          <w:lang w:eastAsia="zh-TW"/>
        </w:rPr>
        <w:t>本</w:t>
      </w:r>
      <w:r w:rsidR="004448B8">
        <w:rPr>
          <w:rFonts w:ascii="PMingLiU" w:eastAsia="PMingLiU" w:hAnsi="PMingLiU" w:cs="Times New Roman" w:hint="eastAsia"/>
          <w:sz w:val="24"/>
          <w:szCs w:val="24"/>
          <w:lang w:eastAsia="zh-TW"/>
        </w:rPr>
        <w:t>團體共</w:t>
      </w:r>
      <w:r w:rsidR="00F47E2C" w:rsidRPr="00277786">
        <w:rPr>
          <w:rFonts w:ascii="PMingLiU" w:eastAsia="PMingLiU" w:hAnsi="PMingLiU" w:cs="Times New Roman"/>
          <w:sz w:val="24"/>
          <w:szCs w:val="24"/>
          <w:lang w:eastAsia="zh-TW"/>
        </w:rPr>
        <w:t>八週</w:t>
      </w:r>
      <w:r w:rsidR="00277786" w:rsidRPr="00277786">
        <w:rPr>
          <w:rFonts w:ascii="PMingLiU" w:eastAsia="PMingLiU" w:hAnsi="PMingLiU" w:cs="Times New Roman"/>
          <w:sz w:val="24"/>
          <w:szCs w:val="24"/>
          <w:lang w:eastAsia="zh-TW"/>
        </w:rPr>
        <w:t>，</w:t>
      </w:r>
      <w:r w:rsidRPr="00277786">
        <w:rPr>
          <w:rFonts w:ascii="PMingLiU" w:eastAsia="PMingLiU" w:hAnsi="PMingLiU" w:cs="Times New Roman"/>
          <w:sz w:val="24"/>
          <w:szCs w:val="24"/>
          <w:lang w:eastAsia="zh-TW"/>
        </w:rPr>
        <w:t>每周90分</w:t>
      </w:r>
      <w:r w:rsidR="004448B8">
        <w:rPr>
          <w:rFonts w:ascii="PMingLiU" w:eastAsia="PMingLiU" w:hAnsi="PMingLiU" w:cs="Times New Roman" w:hint="eastAsia"/>
          <w:sz w:val="24"/>
          <w:szCs w:val="24"/>
          <w:lang w:eastAsia="zh-TW"/>
        </w:rPr>
        <w:t>。其</w:t>
      </w:r>
      <w:r w:rsidR="00277786" w:rsidRPr="00277786">
        <w:rPr>
          <w:rFonts w:ascii="PMingLiU" w:eastAsia="PMingLiU" w:hAnsi="PMingLiU" w:cs="Times New Roman"/>
          <w:sz w:val="24"/>
          <w:szCs w:val="24"/>
          <w:lang w:eastAsia="zh-TW"/>
        </w:rPr>
        <w:t>主題涵蓋：相見歡、小紅帽之旅、家人禮物、溫暖的湯、大野狼來了、生命幽谷以及重新出發</w:t>
      </w:r>
      <w:r w:rsidR="00F47E2C" w:rsidRPr="00277786">
        <w:rPr>
          <w:rFonts w:ascii="PMingLiU" w:eastAsia="PMingLiU" w:hAnsi="PMingLiU" w:cs="Times New Roman"/>
          <w:sz w:val="24"/>
          <w:szCs w:val="24"/>
          <w:lang w:eastAsia="zh-TW"/>
        </w:rPr>
        <w:t>。</w:t>
      </w:r>
      <w:r w:rsidR="004448B8">
        <w:rPr>
          <w:rFonts w:ascii="PMingLiU" w:eastAsia="PMingLiU" w:hAnsi="PMingLiU" w:cs="Times New Roman" w:hint="eastAsia"/>
          <w:sz w:val="24"/>
          <w:szCs w:val="24"/>
          <w:lang w:eastAsia="zh-TW"/>
        </w:rPr>
        <w:t>本團體透過</w:t>
      </w:r>
      <w:r w:rsidRPr="00277786">
        <w:rPr>
          <w:rFonts w:ascii="PMingLiU" w:eastAsia="PMingLiU" w:hAnsi="PMingLiU" w:cs="Times New Roman"/>
          <w:sz w:val="24"/>
          <w:szCs w:val="24"/>
          <w:lang w:eastAsia="zh-TW"/>
        </w:rPr>
        <w:t>參與者</w:t>
      </w:r>
      <w:r w:rsidR="004448B8" w:rsidRPr="00277786">
        <w:rPr>
          <w:rFonts w:ascii="PMingLiU" w:eastAsia="PMingLiU" w:hAnsi="PMingLiU" w:cs="Times New Roman"/>
          <w:sz w:val="24"/>
          <w:szCs w:val="24"/>
          <w:lang w:eastAsia="zh-TW"/>
        </w:rPr>
        <w:t>回顧</w:t>
      </w:r>
      <w:r w:rsidR="004448B8">
        <w:rPr>
          <w:rFonts w:ascii="PMingLiU" w:eastAsia="PMingLiU" w:hAnsi="PMingLiU" w:cs="Times New Roman" w:hint="eastAsia"/>
          <w:sz w:val="24"/>
          <w:szCs w:val="24"/>
          <w:lang w:eastAsia="zh-TW"/>
        </w:rPr>
        <w:t>生命歷程，檢視</w:t>
      </w:r>
      <w:r w:rsidR="004448B8" w:rsidRPr="00277786">
        <w:rPr>
          <w:rFonts w:ascii="PMingLiU" w:eastAsia="PMingLiU" w:hAnsi="PMingLiU" w:cs="Times New Roman"/>
          <w:sz w:val="24"/>
          <w:szCs w:val="24"/>
          <w:lang w:eastAsia="zh-TW"/>
        </w:rPr>
        <w:t>早年與現在重要他</w:t>
      </w:r>
      <w:r w:rsidR="004448B8">
        <w:rPr>
          <w:rFonts w:ascii="PMingLiU" w:eastAsia="PMingLiU" w:hAnsi="PMingLiU" w:cs="Times New Roman" w:hint="eastAsia"/>
          <w:sz w:val="24"/>
          <w:szCs w:val="24"/>
          <w:lang w:eastAsia="zh-TW"/>
        </w:rPr>
        <w:t>人</w:t>
      </w:r>
      <w:r w:rsidR="004448B8" w:rsidRPr="00277786">
        <w:rPr>
          <w:rFonts w:ascii="PMingLiU" w:eastAsia="PMingLiU" w:hAnsi="PMingLiU" w:cs="Times New Roman"/>
          <w:sz w:val="24"/>
          <w:szCs w:val="24"/>
          <w:lang w:eastAsia="zh-TW"/>
        </w:rPr>
        <w:t>的依附關</w:t>
      </w:r>
      <w:r w:rsidR="004448B8">
        <w:rPr>
          <w:rFonts w:ascii="PMingLiU" w:eastAsia="PMingLiU" w:hAnsi="PMingLiU" w:cs="Times New Roman" w:hint="eastAsia"/>
          <w:sz w:val="24"/>
          <w:szCs w:val="24"/>
          <w:lang w:eastAsia="zh-TW"/>
        </w:rPr>
        <w:t>係，邀請參與者使用不同角度看待依附關係，並嘗</w:t>
      </w:r>
      <w:r w:rsidR="00277786" w:rsidRPr="00277786">
        <w:rPr>
          <w:rFonts w:ascii="PMingLiU" w:eastAsia="PMingLiU" w:hAnsi="PMingLiU" w:cs="Times New Roman"/>
          <w:sz w:val="24"/>
          <w:szCs w:val="24"/>
          <w:lang w:eastAsia="zh-TW"/>
        </w:rPr>
        <w:t>建立安全依附</w:t>
      </w:r>
      <w:r w:rsidR="004448B8">
        <w:rPr>
          <w:rFonts w:ascii="PMingLiU" w:eastAsia="PMingLiU" w:hAnsi="PMingLiU" w:cs="Times New Roman" w:hint="eastAsia"/>
          <w:sz w:val="24"/>
          <w:szCs w:val="24"/>
          <w:lang w:eastAsia="zh-TW"/>
        </w:rPr>
        <w:t>，以提高生活品質及自我效能</w:t>
      </w:r>
      <w:r w:rsidR="00277786" w:rsidRPr="00277786">
        <w:rPr>
          <w:rFonts w:ascii="PMingLiU" w:eastAsia="PMingLiU" w:hAnsi="PMingLiU" w:cs="Times New Roman"/>
          <w:sz w:val="24"/>
          <w:szCs w:val="24"/>
          <w:lang w:eastAsia="zh-TW"/>
        </w:rPr>
        <w:t>。</w:t>
      </w:r>
    </w:p>
    <w:p w14:paraId="05755E8A" w14:textId="6B114C9D" w:rsidR="00B60F90" w:rsidRPr="00277786" w:rsidRDefault="00B60F90" w:rsidP="00290A9E">
      <w:pPr>
        <w:spacing w:before="240" w:after="240"/>
        <w:rPr>
          <w:rFonts w:ascii="PMingLiU" w:eastAsia="PMingLiU" w:hAnsi="PMingLiU" w:cs="Times New Roman"/>
          <w:i/>
          <w:iCs/>
          <w:sz w:val="24"/>
          <w:szCs w:val="24"/>
          <w:lang w:eastAsia="zh-TW"/>
        </w:rPr>
      </w:pPr>
      <w:r w:rsidRPr="00277786">
        <w:rPr>
          <w:rFonts w:ascii="PMingLiU" w:eastAsia="PMingLiU" w:hAnsi="PMingLiU" w:cs="Times New Roman" w:hint="eastAsia"/>
          <w:i/>
          <w:iCs/>
          <w:sz w:val="24"/>
          <w:szCs w:val="24"/>
          <w:lang w:eastAsia="zh-TW"/>
        </w:rPr>
        <w:t>2.成員招募</w:t>
      </w:r>
    </w:p>
    <w:p w14:paraId="693BB930" w14:textId="5668F30A" w:rsidR="00B60F90" w:rsidRPr="00D057A1" w:rsidRDefault="00B60F90" w:rsidP="00290A9E">
      <w:pPr>
        <w:spacing w:before="240" w:after="240"/>
        <w:rPr>
          <w:rFonts w:ascii="PMingLiU" w:eastAsia="PMingLiU" w:hAnsi="PMingLiU" w:cs="Times New Roman"/>
          <w:sz w:val="24"/>
          <w:szCs w:val="24"/>
          <w:lang w:eastAsia="zh-TW"/>
        </w:rPr>
      </w:pPr>
      <w:r w:rsidRPr="00DC0F5B">
        <w:rPr>
          <w:rFonts w:ascii="PMingLiU" w:eastAsia="PMingLiU" w:hAnsi="PMingLiU" w:cs="Times New Roman"/>
          <w:sz w:val="24"/>
          <w:szCs w:val="24"/>
          <w:lang w:eastAsia="zh-TW"/>
        </w:rPr>
        <w:tab/>
      </w:r>
      <w:r w:rsidR="00D057A1">
        <w:rPr>
          <w:rFonts w:ascii="PMingLiU" w:eastAsia="PMingLiU" w:hAnsi="PMingLiU" w:cs="Times New Roman" w:hint="eastAsia"/>
          <w:sz w:val="24"/>
          <w:szCs w:val="24"/>
          <w:lang w:eastAsia="zh-TW"/>
        </w:rPr>
        <w:t>本研究欲招募大學生，年齡不拘。自2023年10月16日起至2023年10月24止，使用網路</w:t>
      </w:r>
      <w:r w:rsidRPr="00DC0F5B">
        <w:rPr>
          <w:rFonts w:ascii="PMingLiU" w:eastAsia="PMingLiU" w:hAnsi="PMingLiU" w:cs="Times New Roman" w:hint="eastAsia"/>
          <w:sz w:val="24"/>
          <w:szCs w:val="24"/>
          <w:lang w:eastAsia="zh-TW"/>
        </w:rPr>
        <w:t>表單進行</w:t>
      </w:r>
      <w:r w:rsidR="00D057A1">
        <w:rPr>
          <w:rFonts w:ascii="PMingLiU" w:eastAsia="PMingLiU" w:hAnsi="PMingLiU" w:cs="Times New Roman" w:hint="eastAsia"/>
          <w:sz w:val="24"/>
          <w:szCs w:val="24"/>
          <w:lang w:eastAsia="zh-TW"/>
        </w:rPr>
        <w:t>成員</w:t>
      </w:r>
      <w:r w:rsidRPr="00DC0F5B">
        <w:rPr>
          <w:rFonts w:ascii="PMingLiU" w:eastAsia="PMingLiU" w:hAnsi="PMingLiU" w:cs="Times New Roman" w:hint="eastAsia"/>
          <w:sz w:val="24"/>
          <w:szCs w:val="24"/>
          <w:lang w:eastAsia="zh-TW"/>
        </w:rPr>
        <w:t>招募。最後共</w:t>
      </w:r>
      <w:r w:rsidRPr="00DC0F5B">
        <w:rPr>
          <w:rFonts w:ascii="PMingLiU" w:eastAsia="PMingLiU" w:hAnsi="PMingLiU" w:cs="Gungsuh"/>
          <w:sz w:val="24"/>
          <w:szCs w:val="24"/>
          <w:lang w:eastAsia="zh-TW"/>
        </w:rPr>
        <w:t>9位東華大學諮臨系大學部學生，男性1位，女性8位</w:t>
      </w:r>
      <w:r w:rsidR="00D057A1">
        <w:rPr>
          <w:rFonts w:ascii="PMingLiU" w:eastAsia="PMingLiU" w:hAnsi="PMingLiU" w:cs="Gungsuh" w:hint="eastAsia"/>
          <w:sz w:val="24"/>
          <w:szCs w:val="24"/>
          <w:lang w:eastAsia="zh-TW"/>
        </w:rPr>
        <w:t>參與</w:t>
      </w:r>
      <w:r w:rsidRPr="00DC0F5B">
        <w:rPr>
          <w:rFonts w:ascii="PMingLiU" w:eastAsia="PMingLiU" w:hAnsi="PMingLiU" w:cs="Gungsuh"/>
          <w:sz w:val="24"/>
          <w:szCs w:val="24"/>
          <w:lang w:eastAsia="zh-TW"/>
        </w:rPr>
        <w:t>。</w:t>
      </w:r>
    </w:p>
    <w:p w14:paraId="37CC0F52" w14:textId="6D14D59E" w:rsidR="00844D84" w:rsidRPr="00277786" w:rsidRDefault="00844D84" w:rsidP="00290A9E">
      <w:pPr>
        <w:spacing w:before="240" w:after="240"/>
        <w:rPr>
          <w:rFonts w:ascii="PMingLiU" w:eastAsia="PMingLiU" w:hAnsi="PMingLiU" w:cs="Gungsuh"/>
          <w:i/>
          <w:iCs/>
          <w:sz w:val="24"/>
          <w:szCs w:val="24"/>
          <w:lang w:eastAsia="zh-TW"/>
        </w:rPr>
      </w:pPr>
      <w:r w:rsidRPr="00277786">
        <w:rPr>
          <w:rFonts w:ascii="PMingLiU" w:eastAsia="PMingLiU" w:hAnsi="PMingLiU" w:cs="Gungsuh" w:hint="eastAsia"/>
          <w:i/>
          <w:iCs/>
          <w:sz w:val="24"/>
          <w:szCs w:val="24"/>
          <w:lang w:eastAsia="zh-TW"/>
        </w:rPr>
        <w:t>3.</w:t>
      </w:r>
      <w:r w:rsidR="00277786" w:rsidRPr="00277786">
        <w:rPr>
          <w:rFonts w:ascii="PMingLiU" w:eastAsia="PMingLiU" w:hAnsi="PMingLiU" w:cs="Gungsuh" w:hint="eastAsia"/>
          <w:i/>
          <w:iCs/>
          <w:sz w:val="24"/>
          <w:szCs w:val="24"/>
          <w:lang w:eastAsia="zh-TW"/>
        </w:rPr>
        <w:t>資料</w:t>
      </w:r>
      <w:r w:rsidRPr="00277786">
        <w:rPr>
          <w:rFonts w:ascii="PMingLiU" w:eastAsia="PMingLiU" w:hAnsi="PMingLiU" w:cs="Gungsuh" w:hint="eastAsia"/>
          <w:i/>
          <w:iCs/>
          <w:sz w:val="24"/>
          <w:szCs w:val="24"/>
          <w:lang w:eastAsia="zh-TW"/>
        </w:rPr>
        <w:t>分析</w:t>
      </w:r>
    </w:p>
    <w:p w14:paraId="510532D5" w14:textId="45CFC17A" w:rsidR="006A4DB4" w:rsidRPr="00277786" w:rsidRDefault="00844D84" w:rsidP="00844D84">
      <w:pPr>
        <w:spacing w:before="240" w:after="240"/>
        <w:rPr>
          <w:rFonts w:ascii="PMingLiU" w:eastAsiaTheme="minorEastAsia" w:hAnsi="PMingLiU" w:cs="Gungsuh"/>
          <w:sz w:val="24"/>
          <w:szCs w:val="24"/>
          <w:lang w:eastAsia="zh-TW"/>
        </w:rPr>
      </w:pPr>
      <w:r w:rsidRPr="00DC0F5B">
        <w:rPr>
          <w:rFonts w:ascii="PMingLiU" w:eastAsia="PMingLiU" w:hAnsi="PMingLiU" w:cs="Gungsuh"/>
          <w:sz w:val="24"/>
          <w:szCs w:val="24"/>
          <w:lang w:eastAsia="zh-TW"/>
        </w:rPr>
        <w:tab/>
      </w:r>
      <w:r w:rsidR="00277786">
        <w:rPr>
          <w:rFonts w:asciiTheme="minorEastAsia" w:eastAsiaTheme="minorEastAsia" w:hAnsiTheme="minorEastAsia" w:cs="Gungsuh" w:hint="eastAsia"/>
          <w:sz w:val="24"/>
          <w:szCs w:val="24"/>
          <w:lang w:eastAsia="zh-TW"/>
        </w:rPr>
        <w:t>檢視成員每週的回饋表進行質性資料分析。</w:t>
      </w:r>
    </w:p>
    <w:p w14:paraId="409971D2" w14:textId="4DACEB03" w:rsidR="00F854A3" w:rsidRPr="00DC0F5B" w:rsidRDefault="00F854A3" w:rsidP="00844D84">
      <w:pPr>
        <w:spacing w:before="240" w:after="240"/>
        <w:rPr>
          <w:rFonts w:ascii="PMingLiU" w:eastAsia="PMingLiU" w:hAnsi="PMingLiU" w:cs="Gungsuh"/>
          <w:sz w:val="24"/>
          <w:szCs w:val="24"/>
          <w:lang w:eastAsia="zh-TW"/>
        </w:rPr>
      </w:pPr>
      <w:r w:rsidRPr="00DC0F5B">
        <w:rPr>
          <w:rFonts w:ascii="PMingLiU" w:eastAsia="PMingLiU" w:hAnsi="PMingLiU" w:cs="Gungsuh" w:hint="eastAsia"/>
          <w:sz w:val="24"/>
          <w:szCs w:val="24"/>
          <w:lang w:eastAsia="zh-TW"/>
        </w:rPr>
        <w:t>三、研究結果</w:t>
      </w:r>
    </w:p>
    <w:p w14:paraId="4AE64101" w14:textId="77777777" w:rsidR="00277786" w:rsidRDefault="006E668F" w:rsidP="00277786">
      <w:pPr>
        <w:spacing w:before="240" w:after="240"/>
        <w:rPr>
          <w:rFonts w:ascii="PMingLiU" w:eastAsiaTheme="minorEastAsia" w:hAnsi="PMingLiU" w:cs="Gungsuh"/>
          <w:sz w:val="24"/>
          <w:szCs w:val="24"/>
          <w:lang w:eastAsia="zh-TW"/>
        </w:rPr>
      </w:pPr>
      <w:r w:rsidRPr="00DC0F5B">
        <w:rPr>
          <w:rFonts w:ascii="PMingLiU" w:eastAsia="PMingLiU" w:hAnsi="PMingLiU" w:cs="Gungsuh"/>
          <w:sz w:val="24"/>
          <w:szCs w:val="24"/>
          <w:lang w:eastAsia="zh-TW"/>
        </w:rPr>
        <w:lastRenderedPageBreak/>
        <w:tab/>
      </w:r>
      <w:r w:rsidRPr="00277786">
        <w:rPr>
          <w:rFonts w:ascii="PMingLiU" w:eastAsia="PMingLiU" w:hAnsi="PMingLiU" w:cs="Gungsuh" w:hint="eastAsia"/>
          <w:sz w:val="24"/>
          <w:szCs w:val="24"/>
          <w:lang w:eastAsia="zh-TW"/>
        </w:rPr>
        <w:t>成員表示在參與團體的過程中，能夠感受到</w:t>
      </w:r>
      <w:r w:rsidR="00D55EC3" w:rsidRPr="00277786">
        <w:rPr>
          <w:rFonts w:ascii="PMingLiU" w:eastAsia="PMingLiU" w:hAnsi="PMingLiU" w:cs="DFKai-SB"/>
          <w:sz w:val="24"/>
          <w:szCs w:val="24"/>
          <w:lang w:eastAsia="zh-TW"/>
        </w:rPr>
        <w:t>「</w:t>
      </w:r>
      <w:r w:rsidR="00D55EC3" w:rsidRPr="00277786">
        <w:rPr>
          <w:rFonts w:ascii="PMingLiU" w:eastAsia="PMingLiU" w:hAnsi="PMingLiU" w:hint="eastAsia"/>
          <w:sz w:val="24"/>
          <w:szCs w:val="24"/>
          <w:lang w:eastAsia="zh-TW"/>
        </w:rPr>
        <w:t>成員間的支持</w:t>
      </w:r>
      <w:r w:rsidR="00D55EC3" w:rsidRPr="00277786">
        <w:rPr>
          <w:rFonts w:ascii="PMingLiU" w:eastAsia="PMingLiU" w:hAnsi="PMingLiU" w:cs="DFKai-SB"/>
          <w:sz w:val="24"/>
          <w:szCs w:val="24"/>
          <w:lang w:eastAsia="zh-TW"/>
        </w:rPr>
        <w:t>」</w:t>
      </w:r>
      <w:r w:rsidR="00D55EC3" w:rsidRPr="00277786">
        <w:rPr>
          <w:rFonts w:ascii="PMingLiU" w:eastAsia="PMingLiU" w:hAnsi="PMingLiU" w:cs="DFKai-SB" w:hint="eastAsia"/>
          <w:sz w:val="24"/>
          <w:szCs w:val="24"/>
          <w:lang w:eastAsia="zh-TW"/>
        </w:rPr>
        <w:t>、</w:t>
      </w:r>
      <w:r w:rsidR="00D55EC3" w:rsidRPr="00277786">
        <w:rPr>
          <w:rFonts w:ascii="PMingLiU" w:eastAsia="PMingLiU" w:hAnsi="PMingLiU" w:cs="DFKai-SB"/>
          <w:sz w:val="24"/>
          <w:szCs w:val="24"/>
          <w:lang w:eastAsia="zh-TW"/>
        </w:rPr>
        <w:t>「</w:t>
      </w:r>
      <w:r w:rsidR="00D55EC3" w:rsidRPr="00277786">
        <w:rPr>
          <w:rFonts w:ascii="PMingLiU" w:eastAsia="PMingLiU" w:hAnsi="PMingLiU" w:hint="eastAsia"/>
          <w:sz w:val="24"/>
          <w:szCs w:val="24"/>
          <w:lang w:eastAsia="zh-TW"/>
        </w:rPr>
        <w:t>覺察到自己的依附風格</w:t>
      </w:r>
      <w:r w:rsidR="00D55EC3" w:rsidRPr="00277786">
        <w:rPr>
          <w:rFonts w:ascii="PMingLiU" w:eastAsia="PMingLiU" w:hAnsi="PMingLiU" w:cs="DFKai-SB"/>
          <w:sz w:val="24"/>
          <w:szCs w:val="24"/>
          <w:lang w:eastAsia="zh-TW"/>
        </w:rPr>
        <w:t>」</w:t>
      </w:r>
      <w:r w:rsidR="00D55EC3" w:rsidRPr="00277786">
        <w:rPr>
          <w:rFonts w:ascii="PMingLiU" w:eastAsia="PMingLiU" w:hAnsi="PMingLiU" w:cs="DFKai-SB" w:hint="eastAsia"/>
          <w:sz w:val="24"/>
          <w:szCs w:val="24"/>
          <w:lang w:eastAsia="zh-TW"/>
        </w:rPr>
        <w:t>以及</w:t>
      </w:r>
      <w:r w:rsidR="00D55EC3" w:rsidRPr="00277786">
        <w:rPr>
          <w:rFonts w:ascii="PMingLiU" w:eastAsia="PMingLiU" w:hAnsi="PMingLiU" w:cs="DFKai-SB"/>
          <w:sz w:val="24"/>
          <w:szCs w:val="24"/>
          <w:lang w:eastAsia="zh-TW"/>
        </w:rPr>
        <w:t>「</w:t>
      </w:r>
      <w:r w:rsidR="00D55EC3" w:rsidRPr="00277786">
        <w:rPr>
          <w:rFonts w:ascii="PMingLiU" w:eastAsia="PMingLiU" w:hAnsi="PMingLiU" w:hint="eastAsia"/>
          <w:sz w:val="24"/>
          <w:szCs w:val="24"/>
          <w:lang w:eastAsia="zh-TW"/>
        </w:rPr>
        <w:t>感到溫暖</w:t>
      </w:r>
      <w:r w:rsidR="00D55EC3" w:rsidRPr="00277786">
        <w:rPr>
          <w:rFonts w:ascii="PMingLiU" w:eastAsia="PMingLiU" w:hAnsi="PMingLiU" w:cs="DFKai-SB"/>
          <w:sz w:val="24"/>
          <w:szCs w:val="24"/>
          <w:lang w:eastAsia="zh-TW"/>
        </w:rPr>
        <w:t>」</w:t>
      </w:r>
      <w:r w:rsidR="00D55EC3" w:rsidRPr="00277786">
        <w:rPr>
          <w:rFonts w:ascii="PMingLiU" w:eastAsia="PMingLiU" w:hAnsi="PMingLiU" w:cs="DFKai-SB" w:hint="eastAsia"/>
          <w:sz w:val="24"/>
          <w:szCs w:val="24"/>
          <w:lang w:eastAsia="zh-TW"/>
        </w:rPr>
        <w:t>。</w:t>
      </w:r>
      <w:r w:rsidR="00277786" w:rsidRPr="00277786">
        <w:rPr>
          <w:rFonts w:ascii="PMingLiU" w:eastAsia="PMingLiU" w:hAnsi="PMingLiU" w:cs="DFKai-SB" w:hint="eastAsia"/>
          <w:sz w:val="24"/>
          <w:szCs w:val="24"/>
          <w:lang w:eastAsia="zh-TW"/>
        </w:rPr>
        <w:t>本研究結果顯示，此團體能夠協助成員們回顧自己早年經驗如何影響到現在的關係樣貌，並透過團體中的經驗分享欲回饋獲得支持及普通感。</w:t>
      </w:r>
    </w:p>
    <w:p w14:paraId="6349C9D9" w14:textId="6C45E4A5" w:rsidR="006A4DB4" w:rsidRPr="00DC0F5B" w:rsidRDefault="00595199" w:rsidP="00277786">
      <w:pPr>
        <w:spacing w:before="240" w:after="240"/>
        <w:rPr>
          <w:rFonts w:ascii="PMingLiU" w:eastAsia="PMingLiU" w:hAnsi="PMingLiU" w:cs="Gungsuh"/>
          <w:sz w:val="24"/>
          <w:szCs w:val="24"/>
          <w:lang w:eastAsia="zh-TW"/>
        </w:rPr>
      </w:pPr>
      <w:r w:rsidRPr="00DC0F5B">
        <w:rPr>
          <w:rFonts w:ascii="PMingLiU" w:eastAsia="PMingLiU" w:hAnsi="PMingLiU" w:cs="Gungsuh"/>
          <w:sz w:val="24"/>
          <w:szCs w:val="24"/>
          <w:lang w:eastAsia="zh-TW"/>
        </w:rPr>
        <w:t>關鍵詞：依附關係、自尊、情緒調節、大學生</w:t>
      </w:r>
    </w:p>
    <w:p w14:paraId="0FB9BAA5" w14:textId="7ECF2831" w:rsidR="006A4DB4" w:rsidRPr="00A45A8A" w:rsidRDefault="00724AC8" w:rsidP="000E5785">
      <w:pPr>
        <w:spacing w:before="240" w:after="240"/>
        <w:rPr>
          <w:rFonts w:ascii="Times New Roman" w:eastAsiaTheme="minorEastAsia" w:hAnsi="Times New Roman" w:cs="Times New Roman"/>
          <w:sz w:val="24"/>
          <w:szCs w:val="24"/>
          <w:lang w:eastAsia="zh-TW"/>
        </w:rPr>
      </w:pPr>
      <w:r>
        <w:rPr>
          <w:rFonts w:ascii="Times New Roman" w:eastAsiaTheme="minorEastAsia" w:hAnsi="Times New Roman" w:cs="Times New Roman"/>
          <w:noProof/>
          <w:sz w:val="24"/>
          <w:szCs w:val="24"/>
          <w:lang w:eastAsia="zh-TW"/>
        </w:rPr>
        <w:drawing>
          <wp:inline distT="0" distB="0" distL="0" distR="0" wp14:anchorId="14079908" wp14:editId="2E0C7AC7">
            <wp:extent cx="5727700" cy="927100"/>
            <wp:effectExtent l="0" t="0" r="6350" b="6350"/>
            <wp:docPr id="75765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927100"/>
                    </a:xfrm>
                    <a:prstGeom prst="rect">
                      <a:avLst/>
                    </a:prstGeom>
                    <a:noFill/>
                    <a:ln>
                      <a:noFill/>
                    </a:ln>
                  </pic:spPr>
                </pic:pic>
              </a:graphicData>
            </a:graphic>
          </wp:inline>
        </w:drawing>
      </w:r>
    </w:p>
    <w:sectPr w:rsidR="006A4DB4" w:rsidRPr="00A45A8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F8275" w14:textId="77777777" w:rsidR="00FC1B09" w:rsidRDefault="00FC1B09" w:rsidP="000E5785">
      <w:pPr>
        <w:spacing w:line="240" w:lineRule="auto"/>
      </w:pPr>
      <w:r>
        <w:separator/>
      </w:r>
    </w:p>
  </w:endnote>
  <w:endnote w:type="continuationSeparator" w:id="0">
    <w:p w14:paraId="17782D2F" w14:textId="77777777" w:rsidR="00FC1B09" w:rsidRDefault="00FC1B09" w:rsidP="000E5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E2C56" w14:textId="77777777" w:rsidR="00FC1B09" w:rsidRDefault="00FC1B09" w:rsidP="000E5785">
      <w:pPr>
        <w:spacing w:line="240" w:lineRule="auto"/>
      </w:pPr>
      <w:r>
        <w:separator/>
      </w:r>
    </w:p>
  </w:footnote>
  <w:footnote w:type="continuationSeparator" w:id="0">
    <w:p w14:paraId="2917C8F1" w14:textId="77777777" w:rsidR="00FC1B09" w:rsidRDefault="00FC1B09" w:rsidP="000E57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620D"/>
    <w:multiLevelType w:val="multilevel"/>
    <w:tmpl w:val="C2BA0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EF1D7E"/>
    <w:multiLevelType w:val="hybridMultilevel"/>
    <w:tmpl w:val="44ECA3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0064E23"/>
    <w:multiLevelType w:val="multilevel"/>
    <w:tmpl w:val="C25CB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314ED4"/>
    <w:multiLevelType w:val="multilevel"/>
    <w:tmpl w:val="BADC1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BC57D2"/>
    <w:multiLevelType w:val="multilevel"/>
    <w:tmpl w:val="B93CB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10394E"/>
    <w:multiLevelType w:val="hybridMultilevel"/>
    <w:tmpl w:val="05061CF4"/>
    <w:lvl w:ilvl="0" w:tplc="B05A1632">
      <w:start w:val="1"/>
      <w:numFmt w:val="decimal"/>
      <w:lvlText w:val="%1."/>
      <w:lvlJc w:val="right"/>
      <w:pPr>
        <w:ind w:left="920" w:hanging="5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7662853"/>
    <w:multiLevelType w:val="hybridMultilevel"/>
    <w:tmpl w:val="43E87A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E676FCA"/>
    <w:multiLevelType w:val="multilevel"/>
    <w:tmpl w:val="B79E9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612713"/>
    <w:multiLevelType w:val="multilevel"/>
    <w:tmpl w:val="7B389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6F5154"/>
    <w:multiLevelType w:val="multilevel"/>
    <w:tmpl w:val="A3EE5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68C5F20"/>
    <w:multiLevelType w:val="hybridMultilevel"/>
    <w:tmpl w:val="05061CF4"/>
    <w:lvl w:ilvl="0" w:tplc="FFFFFFFF">
      <w:start w:val="1"/>
      <w:numFmt w:val="decimal"/>
      <w:lvlText w:val="%1."/>
      <w:lvlJc w:val="right"/>
      <w:pPr>
        <w:ind w:left="920" w:hanging="5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0E0A5A"/>
    <w:multiLevelType w:val="multilevel"/>
    <w:tmpl w:val="83C231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7866725">
    <w:abstractNumId w:val="0"/>
  </w:num>
  <w:num w:numId="2" w16cid:durableId="1144856550">
    <w:abstractNumId w:val="7"/>
  </w:num>
  <w:num w:numId="3" w16cid:durableId="2033533200">
    <w:abstractNumId w:val="9"/>
  </w:num>
  <w:num w:numId="4" w16cid:durableId="1779446383">
    <w:abstractNumId w:val="2"/>
  </w:num>
  <w:num w:numId="5" w16cid:durableId="307907139">
    <w:abstractNumId w:val="8"/>
  </w:num>
  <w:num w:numId="6" w16cid:durableId="408426479">
    <w:abstractNumId w:val="4"/>
  </w:num>
  <w:num w:numId="7" w16cid:durableId="42873828">
    <w:abstractNumId w:val="3"/>
  </w:num>
  <w:num w:numId="8" w16cid:durableId="344210817">
    <w:abstractNumId w:val="11"/>
  </w:num>
  <w:num w:numId="9" w16cid:durableId="225378672">
    <w:abstractNumId w:val="6"/>
  </w:num>
  <w:num w:numId="10" w16cid:durableId="974068767">
    <w:abstractNumId w:val="5"/>
  </w:num>
  <w:num w:numId="11" w16cid:durableId="895552863">
    <w:abstractNumId w:val="1"/>
  </w:num>
  <w:num w:numId="12" w16cid:durableId="694118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B4"/>
    <w:rsid w:val="00011685"/>
    <w:rsid w:val="000268B8"/>
    <w:rsid w:val="00045A54"/>
    <w:rsid w:val="00057FD0"/>
    <w:rsid w:val="00066E54"/>
    <w:rsid w:val="000E5785"/>
    <w:rsid w:val="001F3615"/>
    <w:rsid w:val="00277786"/>
    <w:rsid w:val="00290A9E"/>
    <w:rsid w:val="00410492"/>
    <w:rsid w:val="004448B8"/>
    <w:rsid w:val="004D2E61"/>
    <w:rsid w:val="00595199"/>
    <w:rsid w:val="006A4DB4"/>
    <w:rsid w:val="006E668F"/>
    <w:rsid w:val="00724AC8"/>
    <w:rsid w:val="007A42B3"/>
    <w:rsid w:val="008213E1"/>
    <w:rsid w:val="00844D84"/>
    <w:rsid w:val="00875951"/>
    <w:rsid w:val="00932440"/>
    <w:rsid w:val="00943406"/>
    <w:rsid w:val="00A45A8A"/>
    <w:rsid w:val="00AB7A2E"/>
    <w:rsid w:val="00B60F90"/>
    <w:rsid w:val="00CD3F47"/>
    <w:rsid w:val="00D057A1"/>
    <w:rsid w:val="00D0635B"/>
    <w:rsid w:val="00D52EBD"/>
    <w:rsid w:val="00D55EC3"/>
    <w:rsid w:val="00D8413C"/>
    <w:rsid w:val="00DB1B63"/>
    <w:rsid w:val="00DB22D1"/>
    <w:rsid w:val="00DC0F5B"/>
    <w:rsid w:val="00EB32AA"/>
    <w:rsid w:val="00EE4467"/>
    <w:rsid w:val="00EE7A3C"/>
    <w:rsid w:val="00F47E2C"/>
    <w:rsid w:val="00F854A3"/>
    <w:rsid w:val="00FC1B0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8BC5E"/>
  <w15:docId w15:val="{15F86DFB-7B96-4045-857B-AD4FE46D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sz w:val="22"/>
        <w:szCs w:val="22"/>
        <w:lang w:val="zh-TW"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32AA"/>
    <w:pPr>
      <w:ind w:left="720"/>
      <w:contextualSpacing/>
    </w:pPr>
  </w:style>
  <w:style w:type="paragraph" w:styleId="Header">
    <w:name w:val="header"/>
    <w:basedOn w:val="Normal"/>
    <w:link w:val="HeaderChar"/>
    <w:uiPriority w:val="99"/>
    <w:unhideWhenUsed/>
    <w:rsid w:val="000E578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E5785"/>
    <w:rPr>
      <w:sz w:val="20"/>
      <w:szCs w:val="20"/>
    </w:rPr>
  </w:style>
  <w:style w:type="paragraph" w:styleId="Footer">
    <w:name w:val="footer"/>
    <w:basedOn w:val="Normal"/>
    <w:link w:val="FooterChar"/>
    <w:uiPriority w:val="99"/>
    <w:unhideWhenUsed/>
    <w:rsid w:val="000E578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E57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xinru</dc:creator>
  <cp:lastModifiedBy>王欣茹</cp:lastModifiedBy>
  <cp:revision>15</cp:revision>
  <cp:lastPrinted>2024-09-16T12:42:00Z</cp:lastPrinted>
  <dcterms:created xsi:type="dcterms:W3CDTF">2024-09-13T09:25:00Z</dcterms:created>
  <dcterms:modified xsi:type="dcterms:W3CDTF">2024-09-19T11:24:00Z</dcterms:modified>
</cp:coreProperties>
</file>