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B3" w:rsidRDefault="006640B3" w:rsidP="006640B3">
      <w:pPr>
        <w:spacing w:line="500" w:lineRule="exact"/>
        <w:jc w:val="center"/>
        <w:rPr>
          <w:rFonts w:ascii="標楷體" w:eastAsia="標楷體" w:hAnsi="標楷體"/>
          <w:sz w:val="30"/>
          <w:szCs w:val="30"/>
        </w:rPr>
      </w:pPr>
      <w:r w:rsidRPr="006640B3">
        <w:rPr>
          <w:rFonts w:ascii="標楷體" w:eastAsia="標楷體" w:hAnsi="標楷體" w:hint="eastAsia"/>
          <w:sz w:val="30"/>
          <w:szCs w:val="30"/>
        </w:rPr>
        <w:t>新手專任輔導教師</w:t>
      </w:r>
      <w:r w:rsidR="00430503" w:rsidRPr="006640B3">
        <w:rPr>
          <w:rFonts w:ascii="標楷體" w:eastAsia="標楷體" w:hAnsi="標楷體" w:hint="eastAsia"/>
          <w:sz w:val="30"/>
          <w:szCs w:val="30"/>
        </w:rPr>
        <w:t>於</w:t>
      </w:r>
      <w:r w:rsidR="005C7E0B" w:rsidRPr="006640B3">
        <w:rPr>
          <w:rFonts w:ascii="標楷體" w:eastAsia="標楷體" w:hAnsi="標楷體" w:hint="eastAsia"/>
          <w:sz w:val="30"/>
          <w:szCs w:val="30"/>
        </w:rPr>
        <w:t>沙盤</w:t>
      </w:r>
      <w:r w:rsidR="00974B79" w:rsidRPr="006640B3">
        <w:rPr>
          <w:rFonts w:ascii="標楷體" w:eastAsia="標楷體" w:hAnsi="標楷體" w:hint="eastAsia"/>
          <w:sz w:val="30"/>
          <w:szCs w:val="30"/>
        </w:rPr>
        <w:t>督導與非沙盤督導</w:t>
      </w:r>
      <w:r w:rsidR="005C7E0B" w:rsidRPr="006640B3">
        <w:rPr>
          <w:rFonts w:ascii="標楷體" w:eastAsia="標楷體" w:hAnsi="標楷體" w:hint="eastAsia"/>
          <w:sz w:val="30"/>
          <w:szCs w:val="30"/>
        </w:rPr>
        <w:t>之</w:t>
      </w:r>
      <w:r w:rsidRPr="006640B3">
        <w:rPr>
          <w:rFonts w:ascii="標楷體" w:eastAsia="標楷體" w:hAnsi="標楷體" w:hint="eastAsia"/>
          <w:sz w:val="30"/>
          <w:szCs w:val="30"/>
        </w:rPr>
        <w:t>受督</w:t>
      </w:r>
      <w:r w:rsidR="0030631F" w:rsidRPr="006640B3">
        <w:rPr>
          <w:rFonts w:ascii="標楷體" w:eastAsia="標楷體" w:hAnsi="標楷體" w:hint="eastAsia"/>
          <w:sz w:val="30"/>
          <w:szCs w:val="30"/>
        </w:rPr>
        <w:t>焦點初探</w:t>
      </w:r>
    </w:p>
    <w:p w:rsidR="0030631F" w:rsidRPr="006640B3" w:rsidRDefault="0019312B" w:rsidP="006640B3">
      <w:pPr>
        <w:spacing w:line="500" w:lineRule="exact"/>
        <w:jc w:val="center"/>
        <w:rPr>
          <w:rFonts w:ascii="標楷體" w:eastAsia="標楷體" w:hAnsi="標楷體"/>
          <w:sz w:val="30"/>
          <w:szCs w:val="30"/>
        </w:rPr>
      </w:pPr>
      <w:r w:rsidRPr="006640B3">
        <w:rPr>
          <w:rFonts w:ascii="標楷體" w:eastAsia="標楷體" w:hAnsi="標楷體"/>
          <w:sz w:val="30"/>
          <w:szCs w:val="30"/>
        </w:rPr>
        <w:t>--</w:t>
      </w:r>
      <w:r w:rsidR="00974B79" w:rsidRPr="006640B3">
        <w:rPr>
          <w:rFonts w:ascii="標楷體" w:eastAsia="標楷體" w:hAnsi="標楷體" w:hint="eastAsia"/>
          <w:sz w:val="30"/>
          <w:szCs w:val="30"/>
        </w:rPr>
        <w:t>以七眼督導模式分析為例</w:t>
      </w:r>
    </w:p>
    <w:p w:rsidR="00AB6878" w:rsidRPr="00AB6878" w:rsidRDefault="00AB6878" w:rsidP="00AB6878">
      <w:pPr>
        <w:spacing w:line="400" w:lineRule="exact"/>
        <w:jc w:val="center"/>
        <w:rPr>
          <w:rFonts w:ascii="標楷體" w:eastAsia="標楷體" w:hAnsi="標楷體"/>
          <w:sz w:val="16"/>
          <w:szCs w:val="16"/>
        </w:rPr>
      </w:pPr>
    </w:p>
    <w:p w:rsidR="00504EE7" w:rsidRPr="003572ED" w:rsidRDefault="00696725" w:rsidP="00C262D1">
      <w:pPr>
        <w:jc w:val="both"/>
        <w:rPr>
          <w:rFonts w:ascii="標楷體" w:eastAsia="標楷體" w:hAnsi="標楷體"/>
          <w:b/>
        </w:rPr>
      </w:pPr>
      <w:r w:rsidRPr="003572ED">
        <w:rPr>
          <w:rFonts w:ascii="標楷體" w:eastAsia="標楷體" w:hAnsi="標楷體" w:hint="eastAsia"/>
          <w:b/>
        </w:rPr>
        <w:t>壹、</w:t>
      </w:r>
      <w:r w:rsidR="00504EE7" w:rsidRPr="003572ED">
        <w:rPr>
          <w:rFonts w:ascii="標楷體" w:eastAsia="標楷體" w:hAnsi="標楷體" w:hint="eastAsia"/>
          <w:b/>
        </w:rPr>
        <w:t>緒論</w:t>
      </w:r>
      <w:bookmarkStart w:id="0" w:name="_GoBack"/>
      <w:bookmarkEnd w:id="0"/>
    </w:p>
    <w:p w:rsidR="00504EE7" w:rsidRPr="00AD07D8" w:rsidRDefault="00696725"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本研究者於本學期修習博士班「督導理論與實務」課程期間，深受多元督導模式啟發，反思自身在職場中擔任國小專任輔導教師多年所觀察到的</w:t>
      </w:r>
      <w:r w:rsidR="00BD5B18">
        <w:rPr>
          <w:rFonts w:ascii="標楷體" w:eastAsia="標楷體" w:hAnsi="標楷體" w:hint="eastAsia"/>
        </w:rPr>
        <w:t>現象。歷經與初任輔導教</w:t>
      </w:r>
      <w:r w:rsidR="00792224">
        <w:rPr>
          <w:rFonts w:ascii="標楷體" w:eastAsia="標楷體" w:hAnsi="標楷體" w:hint="eastAsia"/>
        </w:rPr>
        <w:t>師合作與交流的</w:t>
      </w:r>
      <w:r w:rsidR="00A41865">
        <w:rPr>
          <w:rFonts w:ascii="標楷體" w:eastAsia="標楷體" w:hAnsi="標楷體" w:hint="eastAsia"/>
        </w:rPr>
        <w:t>實務經驗，研究者回顧自身時經驗並對照相關研究，發現</w:t>
      </w:r>
      <w:r w:rsidR="00BD5B18">
        <w:rPr>
          <w:rFonts w:ascii="標楷體" w:eastAsia="標楷體" w:hAnsi="標楷體" w:hint="eastAsia"/>
        </w:rPr>
        <w:t>到新手專輔在初入教育現場時，經常</w:t>
      </w:r>
      <w:r w:rsidR="00504EE7" w:rsidRPr="00AD07D8">
        <w:rPr>
          <w:rFonts w:ascii="標楷體" w:eastAsia="標楷體" w:hAnsi="標楷體" w:hint="eastAsia"/>
        </w:rPr>
        <w:t>面臨系統性角色模糊、自我懷疑、專業孤立與理論實務落差等多重挑戰（姜兆眉等，2023</w:t>
      </w:r>
      <w:r w:rsidR="00BD5B18">
        <w:rPr>
          <w:rFonts w:ascii="標楷體" w:eastAsia="標楷體" w:hAnsi="標楷體" w:hint="eastAsia"/>
        </w:rPr>
        <w:t>）。</w:t>
      </w:r>
      <w:r w:rsidR="00504EE7" w:rsidRPr="00AD07D8">
        <w:rPr>
          <w:rFonts w:ascii="標楷體" w:eastAsia="標楷體" w:hAnsi="標楷體" w:hint="eastAsia"/>
        </w:rPr>
        <w:t>在現有制度性團體或同儕督導支持下，仍無法獲得充足的個別化協助。</w:t>
      </w:r>
    </w:p>
    <w:p w:rsidR="001E01C2" w:rsidRDefault="00696725" w:rsidP="001356B3">
      <w:pPr>
        <w:jc w:val="both"/>
        <w:rPr>
          <w:rFonts w:ascii="標楷體" w:eastAsia="標楷體" w:hAnsi="標楷體"/>
        </w:rPr>
      </w:pPr>
      <w:r w:rsidRPr="00AD07D8">
        <w:rPr>
          <w:rFonts w:ascii="標楷體" w:eastAsia="標楷體" w:hAnsi="標楷體" w:hint="eastAsia"/>
        </w:rPr>
        <w:t xml:space="preserve">    文獻指出，專業</w:t>
      </w:r>
      <w:r w:rsidR="00F93857">
        <w:rPr>
          <w:rFonts w:ascii="標楷體" w:eastAsia="標楷體" w:hAnsi="標楷體" w:hint="eastAsia"/>
        </w:rPr>
        <w:t>性</w:t>
      </w:r>
      <w:r w:rsidR="00504EE7" w:rsidRPr="00AD07D8">
        <w:rPr>
          <w:rFonts w:ascii="標楷體" w:eastAsia="標楷體" w:hAnsi="標楷體" w:hint="eastAsia"/>
        </w:rPr>
        <w:t>個別督導能有效促進新手</w:t>
      </w:r>
      <w:r w:rsidR="00BD5B18">
        <w:rPr>
          <w:rFonts w:ascii="標楷體" w:eastAsia="標楷體" w:hAnsi="標楷體" w:hint="eastAsia"/>
        </w:rPr>
        <w:t>專輔</w:t>
      </w:r>
      <w:r w:rsidR="00F93857">
        <w:rPr>
          <w:rFonts w:ascii="標楷體" w:eastAsia="標楷體" w:hAnsi="標楷體" w:hint="eastAsia"/>
        </w:rPr>
        <w:t>建立專業認同、提升情緒支持與專業穩定性，並減緩過早耗竭與</w:t>
      </w:r>
      <w:r w:rsidR="00504EE7" w:rsidRPr="00AD07D8">
        <w:rPr>
          <w:rFonts w:ascii="標楷體" w:eastAsia="標楷體" w:hAnsi="標楷體" w:hint="eastAsia"/>
        </w:rPr>
        <w:t>離職風險（Zalewski</w:t>
      </w:r>
      <w:r w:rsidR="00A41865">
        <w:rPr>
          <w:rFonts w:ascii="標楷體" w:eastAsia="標楷體" w:hAnsi="標楷體"/>
        </w:rPr>
        <w:t xml:space="preserve">, S.E., </w:t>
      </w:r>
      <w:r w:rsidR="00504EE7" w:rsidRPr="00AD07D8">
        <w:rPr>
          <w:rFonts w:ascii="標楷體" w:eastAsia="標楷體" w:hAnsi="標楷體" w:hint="eastAsia"/>
        </w:rPr>
        <w:t>et al., 2024）。</w:t>
      </w:r>
      <w:r w:rsidR="001356B3" w:rsidRPr="001356B3">
        <w:rPr>
          <w:rFonts w:ascii="標楷體" w:eastAsia="標楷體" w:hAnsi="標楷體" w:hint="eastAsia"/>
        </w:rPr>
        <w:t>國中小專任輔導教師在《學生輔導法》2014年通過並施行後，成為學校專責輔導工作之重要人員</w:t>
      </w:r>
      <w:r w:rsidR="001356B3">
        <w:rPr>
          <w:rFonts w:ascii="標楷體" w:eastAsia="標楷體" w:hAnsi="標楷體" w:hint="eastAsia"/>
        </w:rPr>
        <w:t>，然而學術與實務層面仍難以接軌</w:t>
      </w:r>
      <w:r w:rsidR="001356B3" w:rsidRPr="001356B3">
        <w:rPr>
          <w:rFonts w:ascii="標楷體" w:eastAsia="標楷體" w:hAnsi="標楷體" w:hint="eastAsia"/>
        </w:rPr>
        <w:t>，王</w:t>
      </w:r>
      <w:r w:rsidR="001356B3" w:rsidRPr="00952CB0">
        <w:rPr>
          <w:rFonts w:ascii="標楷體" w:eastAsia="標楷體" w:hAnsi="標楷體" w:hint="eastAsia"/>
        </w:rPr>
        <w:t>煜凱與吳忻哿（2018</w:t>
      </w:r>
      <w:r w:rsidR="00CB39B2" w:rsidRPr="00952CB0">
        <w:rPr>
          <w:rFonts w:ascii="標楷體" w:eastAsia="標楷體" w:hAnsi="標楷體" w:hint="eastAsia"/>
        </w:rPr>
        <w:t>）認</w:t>
      </w:r>
      <w:r w:rsidR="00CB39B2">
        <w:rPr>
          <w:rFonts w:ascii="標楷體" w:eastAsia="標楷體" w:hAnsi="標楷體" w:hint="eastAsia"/>
        </w:rPr>
        <w:t>為教育</w:t>
      </w:r>
      <w:r w:rsidR="001356B3" w:rsidRPr="001356B3">
        <w:rPr>
          <w:rFonts w:ascii="標楷體" w:eastAsia="標楷體" w:hAnsi="標楷體" w:hint="eastAsia"/>
        </w:rPr>
        <w:t>階段之實習內涵仍以教學為主，少有包含專輔教師之輔導工作內涵，因此實習階段能夠應用大學階段所學之機會極為有限</w:t>
      </w:r>
      <w:r w:rsidR="00F93857">
        <w:rPr>
          <w:rFonts w:ascii="標楷體" w:eastAsia="標楷體" w:hAnsi="標楷體" w:hint="eastAsia"/>
        </w:rPr>
        <w:t>，有落差之感。</w:t>
      </w:r>
      <w:r w:rsidR="00CB39B2">
        <w:rPr>
          <w:rFonts w:ascii="標楷體" w:eastAsia="標楷體" w:hAnsi="標楷體" w:hint="eastAsia"/>
        </w:rPr>
        <w:t>亦有研究聚焦初任國中小專輔教師工作經驗，</w:t>
      </w:r>
      <w:r w:rsidR="00952CB0">
        <w:rPr>
          <w:rFonts w:ascii="標楷體" w:eastAsia="標楷體" w:hAnsi="標楷體" w:hint="eastAsia"/>
        </w:rPr>
        <w:t>建議初任國中小專輔教師因應工作困境之一的策略為為尋求外部督導資源</w:t>
      </w:r>
      <w:r w:rsidR="001356B3" w:rsidRPr="001356B3">
        <w:rPr>
          <w:rFonts w:ascii="標楷體" w:eastAsia="標楷體" w:hAnsi="標楷體" w:hint="eastAsia"/>
        </w:rPr>
        <w:t>（</w:t>
      </w:r>
      <w:r w:rsidR="00952CB0">
        <w:rPr>
          <w:rFonts w:ascii="標楷體" w:eastAsia="標楷體" w:hAnsi="標楷體" w:hint="eastAsia"/>
        </w:rPr>
        <w:t>彭文松</w:t>
      </w:r>
      <w:r w:rsidR="009C744F">
        <w:rPr>
          <w:rFonts w:ascii="標楷體" w:eastAsia="標楷體" w:hAnsi="標楷體" w:hint="eastAsia"/>
        </w:rPr>
        <w:t>、</w:t>
      </w:r>
      <w:r w:rsidR="009C744F" w:rsidRPr="009C744F">
        <w:rPr>
          <w:rFonts w:ascii="標楷體" w:eastAsia="標楷體" w:hAnsi="標楷體" w:hint="eastAsia"/>
        </w:rPr>
        <w:t>游錦雲</w:t>
      </w:r>
      <w:r w:rsidR="009C744F">
        <w:rPr>
          <w:rFonts w:ascii="標楷體" w:eastAsia="標楷體" w:hAnsi="標楷體" w:hint="eastAsia"/>
        </w:rPr>
        <w:t>，</w:t>
      </w:r>
      <w:r w:rsidR="00952CB0">
        <w:rPr>
          <w:rFonts w:ascii="標楷體" w:eastAsia="標楷體" w:hAnsi="標楷體" w:hint="eastAsia"/>
        </w:rPr>
        <w:t>202</w:t>
      </w:r>
      <w:r w:rsidR="001356B3" w:rsidRPr="001356B3">
        <w:rPr>
          <w:rFonts w:ascii="標楷體" w:eastAsia="標楷體" w:hAnsi="標楷體" w:hint="eastAsia"/>
        </w:rPr>
        <w:t>4</w:t>
      </w:r>
      <w:r w:rsidR="0014183B">
        <w:rPr>
          <w:rFonts w:ascii="標楷體" w:eastAsia="標楷體" w:hAnsi="標楷體" w:hint="eastAsia"/>
        </w:rPr>
        <w:t>）</w:t>
      </w:r>
      <w:r w:rsidR="001356B3" w:rsidRPr="001356B3">
        <w:rPr>
          <w:rFonts w:ascii="標楷體" w:eastAsia="標楷體" w:hAnsi="標楷體" w:hint="eastAsia"/>
        </w:rPr>
        <w:t>。</w:t>
      </w:r>
      <w:r w:rsidR="001E01C2">
        <w:rPr>
          <w:rFonts w:ascii="標楷體" w:eastAsia="標楷體" w:hAnsi="標楷體" w:hint="eastAsia"/>
        </w:rPr>
        <w:t xml:space="preserve"> </w:t>
      </w:r>
    </w:p>
    <w:p w:rsidR="00CB39B2" w:rsidRDefault="0014183B" w:rsidP="001356B3">
      <w:pPr>
        <w:jc w:val="both"/>
        <w:rPr>
          <w:rFonts w:ascii="標楷體" w:eastAsia="標楷體" w:hAnsi="標楷體"/>
        </w:rPr>
      </w:pPr>
      <w:r>
        <w:rPr>
          <w:rFonts w:ascii="標楷體" w:eastAsia="標楷體" w:hAnsi="標楷體" w:hint="eastAsia"/>
        </w:rPr>
        <w:t xml:space="preserve">    </w:t>
      </w:r>
      <w:r w:rsidR="00CB39B2">
        <w:rPr>
          <w:rFonts w:ascii="標楷體" w:eastAsia="標楷體" w:hAnsi="標楷體" w:hint="eastAsia"/>
        </w:rPr>
        <w:t>相關研究亦</w:t>
      </w:r>
      <w:r w:rsidR="001356B3" w:rsidRPr="001356B3">
        <w:rPr>
          <w:rFonts w:ascii="標楷體" w:eastAsia="標楷體" w:hAnsi="標楷體" w:hint="eastAsia"/>
        </w:rPr>
        <w:t>指出國中小專輔教師之職前培訓課程、實習階段、初任階段為輔</w:t>
      </w:r>
      <w:r w:rsidR="00F3499E">
        <w:rPr>
          <w:rFonts w:ascii="標楷體" w:eastAsia="標楷體" w:hAnsi="標楷體" w:hint="eastAsia"/>
        </w:rPr>
        <w:t>導專業發展關鍵期，持續資源挹注須視為必然，培育與後續督導資源則</w:t>
      </w:r>
      <w:r w:rsidR="001356B3" w:rsidRPr="001356B3">
        <w:rPr>
          <w:rFonts w:ascii="標楷體" w:eastAsia="標楷體" w:hAnsi="標楷體" w:hint="eastAsia"/>
        </w:rPr>
        <w:t>尚待連結</w:t>
      </w:r>
      <w:r w:rsidR="00CB39B2">
        <w:rPr>
          <w:rFonts w:ascii="標楷體" w:eastAsia="標楷體" w:hAnsi="標楷體" w:hint="eastAsia"/>
        </w:rPr>
        <w:t>(姜兆眉等人，2023)</w:t>
      </w:r>
      <w:r w:rsidR="001356B3" w:rsidRPr="001356B3">
        <w:rPr>
          <w:rFonts w:ascii="標楷體" w:eastAsia="標楷體" w:hAnsi="標楷體" w:hint="eastAsia"/>
        </w:rPr>
        <w:t>。</w:t>
      </w:r>
      <w:r w:rsidR="00CB39B2">
        <w:rPr>
          <w:rFonts w:ascii="標楷體" w:eastAsia="標楷體" w:hAnsi="標楷體" w:hint="eastAsia"/>
        </w:rPr>
        <w:t>可見從培育機構到實習機構及初任專輔任教單位之間的督導銜接對於專業發展來說都有其階段性與重要性。</w:t>
      </w:r>
      <w:r w:rsidR="001E01C2">
        <w:rPr>
          <w:rFonts w:ascii="標楷體" w:eastAsia="標楷體" w:hAnsi="標楷體" w:hint="eastAsia"/>
        </w:rPr>
        <w:t>尤其在新手(實習及初任)</w:t>
      </w:r>
      <w:r w:rsidR="00A9585D">
        <w:rPr>
          <w:rFonts w:ascii="標楷體" w:eastAsia="標楷體" w:hAnsi="標楷體" w:hint="eastAsia"/>
        </w:rPr>
        <w:t>階段，遇到學理</w:t>
      </w:r>
      <w:r w:rsidR="001E01C2">
        <w:rPr>
          <w:rFonts w:ascii="標楷體" w:eastAsia="標楷體" w:hAnsi="標楷體" w:hint="eastAsia"/>
        </w:rPr>
        <w:t>與實務上的斷裂衝擊較大，現場挑戰與內在焦慮較高，需要更多專業的支持與引導。</w:t>
      </w:r>
      <w:r w:rsidRPr="0014183B">
        <w:rPr>
          <w:rFonts w:ascii="標楷體" w:eastAsia="標楷體" w:hAnsi="標楷體" w:hint="eastAsia"/>
        </w:rPr>
        <w:t>國內中小學專輔於現行制度的侷限</w:t>
      </w:r>
      <w:r w:rsidR="0082218D">
        <w:rPr>
          <w:rFonts w:ascii="標楷體" w:eastAsia="標楷體" w:hAnsi="標楷體" w:hint="eastAsia"/>
        </w:rPr>
        <w:t>有兩個方面，一為團體督導方面，雖具制度，但偏向制式與概括，對新手個別化支持有限(姜兆眉等，</w:t>
      </w:r>
      <w:r w:rsidR="0082218D" w:rsidRPr="0082218D">
        <w:rPr>
          <w:rFonts w:ascii="標楷體" w:eastAsia="標楷體" w:hAnsi="標楷體" w:hint="eastAsia"/>
        </w:rPr>
        <w:t>2023）</w:t>
      </w:r>
      <w:r w:rsidRPr="0014183B">
        <w:rPr>
          <w:rFonts w:ascii="標楷體" w:eastAsia="標楷體" w:hAnsi="標楷體" w:hint="eastAsia"/>
        </w:rPr>
        <w:t>。</w:t>
      </w:r>
      <w:r w:rsidR="0082218D">
        <w:rPr>
          <w:rFonts w:ascii="標楷體" w:eastAsia="標楷體" w:hAnsi="標楷體" w:hint="eastAsia"/>
        </w:rPr>
        <w:t>一為</w:t>
      </w:r>
      <w:r w:rsidRPr="0014183B">
        <w:rPr>
          <w:rFonts w:ascii="標楷體" w:eastAsia="標楷體" w:hAnsi="標楷體" w:hint="eastAsia"/>
        </w:rPr>
        <w:t>同儕督導</w:t>
      </w:r>
      <w:r w:rsidR="0082218D">
        <w:rPr>
          <w:rFonts w:ascii="標楷體" w:eastAsia="標楷體" w:hAnsi="標楷體" w:hint="eastAsia"/>
        </w:rPr>
        <w:t>方面，</w:t>
      </w:r>
      <w:r w:rsidRPr="0014183B">
        <w:rPr>
          <w:rFonts w:ascii="標楷體" w:eastAsia="標楷體" w:hAnsi="標楷體" w:hint="eastAsia"/>
        </w:rPr>
        <w:t>雖</w:t>
      </w:r>
      <w:r w:rsidR="0082218D" w:rsidRPr="0014183B">
        <w:rPr>
          <w:rFonts w:ascii="標楷體" w:eastAsia="標楷體" w:hAnsi="標楷體" w:hint="eastAsia"/>
        </w:rPr>
        <w:t>提供情感支持</w:t>
      </w:r>
      <w:r w:rsidR="0082218D">
        <w:rPr>
          <w:rFonts w:ascii="標楷體" w:eastAsia="標楷體" w:hAnsi="標楷體" w:hint="eastAsia"/>
        </w:rPr>
        <w:t>與</w:t>
      </w:r>
      <w:r w:rsidRPr="0014183B">
        <w:rPr>
          <w:rFonts w:ascii="標楷體" w:eastAsia="標楷體" w:hAnsi="標楷體" w:hint="eastAsia"/>
        </w:rPr>
        <w:t>溫暖</w:t>
      </w:r>
      <w:r w:rsidR="0082218D">
        <w:rPr>
          <w:rFonts w:ascii="標楷體" w:eastAsia="標楷體" w:hAnsi="標楷體" w:hint="eastAsia"/>
        </w:rPr>
        <w:t>，</w:t>
      </w:r>
      <w:r w:rsidR="0082218D" w:rsidRPr="0014183B">
        <w:rPr>
          <w:rFonts w:ascii="標楷體" w:eastAsia="標楷體" w:hAnsi="標楷體" w:hint="eastAsia"/>
        </w:rPr>
        <w:t>但</w:t>
      </w:r>
      <w:r w:rsidR="0082218D">
        <w:rPr>
          <w:rFonts w:ascii="標楷體" w:eastAsia="標楷體" w:hAnsi="標楷體" w:hint="eastAsia"/>
        </w:rPr>
        <w:t>缺乏專業結構(</w:t>
      </w:r>
      <w:r w:rsidRPr="0014183B">
        <w:rPr>
          <w:rFonts w:ascii="標楷體" w:eastAsia="標楷體" w:hAnsi="標楷體" w:hint="eastAsia"/>
        </w:rPr>
        <w:t>Harvey &amp; Struzziero</w:t>
      </w:r>
      <w:r w:rsidR="0082218D">
        <w:rPr>
          <w:rFonts w:ascii="標楷體" w:eastAsia="標楷體" w:hAnsi="標楷體" w:hint="eastAsia"/>
        </w:rPr>
        <w:t>,</w:t>
      </w:r>
      <w:r w:rsidR="0082218D">
        <w:rPr>
          <w:rFonts w:ascii="標楷體" w:eastAsia="標楷體" w:hAnsi="標楷體"/>
        </w:rPr>
        <w:t xml:space="preserve"> </w:t>
      </w:r>
      <w:r w:rsidRPr="0014183B">
        <w:rPr>
          <w:rFonts w:ascii="標楷體" w:eastAsia="標楷體" w:hAnsi="標楷體" w:hint="eastAsia"/>
        </w:rPr>
        <w:t>2008）</w:t>
      </w:r>
      <w:r w:rsidR="0082218D">
        <w:rPr>
          <w:rFonts w:ascii="標楷體" w:eastAsia="標楷體" w:hAnsi="標楷體" w:hint="eastAsia"/>
        </w:rPr>
        <w:t>。</w:t>
      </w:r>
    </w:p>
    <w:p w:rsidR="00504EE7" w:rsidRPr="00AD07D8" w:rsidRDefault="001E01C2" w:rsidP="001356B3">
      <w:pPr>
        <w:jc w:val="both"/>
        <w:rPr>
          <w:rFonts w:ascii="標楷體" w:eastAsia="標楷體" w:hAnsi="標楷體"/>
        </w:rPr>
      </w:pPr>
      <w:r>
        <w:rPr>
          <w:rFonts w:ascii="標楷體" w:eastAsia="標楷體" w:hAnsi="標楷體" w:hint="eastAsia"/>
        </w:rPr>
        <w:t xml:space="preserve">    </w:t>
      </w:r>
      <w:r w:rsidR="00CB39B2">
        <w:rPr>
          <w:rFonts w:ascii="標楷體" w:eastAsia="標楷體" w:hAnsi="標楷體" w:hint="eastAsia"/>
        </w:rPr>
        <w:t>七</w:t>
      </w:r>
      <w:r w:rsidR="00EE441A" w:rsidRPr="00EE441A">
        <w:rPr>
          <w:rFonts w:ascii="標楷體" w:eastAsia="標楷體" w:hAnsi="標楷體" w:hint="eastAsia"/>
        </w:rPr>
        <w:t>眼督導模型（Seven-Eyed Model of Supervision）是一種整合關係與系統視角的督導模式，強調在督導歷程中同時關注案主、治療者、督導者三者間的多層次互動與其所處的脈絡系統</w:t>
      </w:r>
      <w:r w:rsidR="002A26F9" w:rsidRPr="002A26F9">
        <w:rPr>
          <w:rFonts w:ascii="標楷體" w:eastAsia="標楷體" w:hAnsi="標楷體" w:hint="eastAsia"/>
        </w:rPr>
        <w:t>（Hawkins &amp; Shohet, 2020）</w:t>
      </w:r>
      <w:r w:rsidR="00EE441A" w:rsidRPr="00EE441A">
        <w:rPr>
          <w:rFonts w:ascii="標楷體" w:eastAsia="標楷體" w:hAnsi="標楷體" w:hint="eastAsia"/>
        </w:rPr>
        <w:t>。</w:t>
      </w:r>
      <w:r w:rsidR="009D6D8F">
        <w:rPr>
          <w:rFonts w:ascii="標楷體" w:eastAsia="標楷體" w:hAnsi="標楷體" w:hint="eastAsia"/>
        </w:rPr>
        <w:t>此督導模式側重於治療過程的七個不同面向，是架構清晰且實用的督導模式，從多層面發展專業知識，提高督導效率。此模式在歐洲(如愛爾蘭和英國)是督導者培訓和實務的核心模式，被喻為是國際上最具影響力的督導模式(Jo</w:t>
      </w:r>
      <w:r w:rsidR="009D6D8F">
        <w:rPr>
          <w:rFonts w:ascii="標楷體" w:eastAsia="標楷體" w:hAnsi="標楷體"/>
        </w:rPr>
        <w:t xml:space="preserve">seph, </w:t>
      </w:r>
      <w:r w:rsidR="009D6D8F">
        <w:rPr>
          <w:rFonts w:ascii="標楷體" w:eastAsia="標楷體" w:hAnsi="標楷體" w:hint="eastAsia"/>
        </w:rPr>
        <w:t>2</w:t>
      </w:r>
      <w:r w:rsidR="009D6D8F">
        <w:rPr>
          <w:rFonts w:ascii="標楷體" w:eastAsia="標楷體" w:hAnsi="標楷體"/>
        </w:rPr>
        <w:t>017</w:t>
      </w:r>
      <w:r w:rsidR="009D6D8F">
        <w:rPr>
          <w:rFonts w:ascii="標楷體" w:eastAsia="標楷體" w:hAnsi="標楷體" w:hint="eastAsia"/>
        </w:rPr>
        <w:t>)。</w:t>
      </w:r>
    </w:p>
    <w:p w:rsidR="00504EE7" w:rsidRPr="00AD07D8" w:rsidRDefault="00986DCF" w:rsidP="00C262D1">
      <w:pPr>
        <w:jc w:val="both"/>
        <w:rPr>
          <w:rFonts w:ascii="標楷體" w:eastAsia="標楷體" w:hAnsi="標楷體"/>
        </w:rPr>
      </w:pPr>
      <w:r w:rsidRPr="00AD07D8">
        <w:rPr>
          <w:rFonts w:ascii="標楷體" w:eastAsia="標楷體" w:hAnsi="標楷體" w:hint="eastAsia"/>
        </w:rPr>
        <w:t xml:space="preserve">    另一方面，沙盤技術結合象徵與敘說元素，近年國內亦開始被置入少數研究</w:t>
      </w:r>
      <w:r w:rsidR="007472E8">
        <w:rPr>
          <w:rFonts w:ascii="標楷體" w:eastAsia="標楷體" w:hAnsi="標楷體" w:hint="eastAsia"/>
        </w:rPr>
        <w:t>探討</w:t>
      </w:r>
      <w:r w:rsidRPr="00AD07D8">
        <w:rPr>
          <w:rFonts w:ascii="標楷體" w:eastAsia="標楷體" w:hAnsi="標楷體" w:hint="eastAsia"/>
        </w:rPr>
        <w:t>心理師</w:t>
      </w:r>
      <w:r w:rsidR="007472E8">
        <w:rPr>
          <w:rFonts w:ascii="標楷體" w:eastAsia="標楷體" w:hAnsi="標楷體" w:hint="eastAsia"/>
        </w:rPr>
        <w:t>督導</w:t>
      </w:r>
      <w:r w:rsidRPr="00AD07D8">
        <w:rPr>
          <w:rFonts w:ascii="標楷體" w:eastAsia="標楷體" w:hAnsi="標楷體" w:hint="eastAsia"/>
        </w:rPr>
        <w:t>歷程</w:t>
      </w:r>
      <w:r w:rsidRPr="00C262D1">
        <w:rPr>
          <w:rFonts w:ascii="標楷體" w:eastAsia="標楷體" w:hAnsi="標楷體" w:hint="eastAsia"/>
          <w:color w:val="000000" w:themeColor="text1"/>
        </w:rPr>
        <w:t>(</w:t>
      </w:r>
      <w:r w:rsidR="0020766D" w:rsidRPr="0020766D">
        <w:rPr>
          <w:rFonts w:ascii="標楷體" w:eastAsia="標楷體" w:hAnsi="標楷體" w:hint="eastAsia"/>
          <w:color w:val="000000" w:themeColor="text1"/>
        </w:rPr>
        <w:t>蔡美香</w:t>
      </w:r>
      <w:r w:rsidR="0020766D">
        <w:rPr>
          <w:rFonts w:ascii="標楷體" w:eastAsia="標楷體" w:hAnsi="標楷體" w:hint="eastAsia"/>
          <w:color w:val="000000" w:themeColor="text1"/>
        </w:rPr>
        <w:t>，</w:t>
      </w:r>
      <w:r w:rsidR="0020766D" w:rsidRPr="0020766D">
        <w:rPr>
          <w:rFonts w:ascii="標楷體" w:eastAsia="標楷體" w:hAnsi="標楷體" w:hint="eastAsia"/>
          <w:color w:val="000000" w:themeColor="text1"/>
        </w:rPr>
        <w:t>2022)</w:t>
      </w:r>
      <w:r w:rsidR="00504EE7" w:rsidRPr="00C262D1">
        <w:rPr>
          <w:rFonts w:ascii="標楷體" w:eastAsia="標楷體" w:hAnsi="標楷體" w:hint="eastAsia"/>
          <w:color w:val="000000" w:themeColor="text1"/>
        </w:rPr>
        <w:t>。</w:t>
      </w:r>
      <w:r w:rsidR="00504EE7" w:rsidRPr="00AD07D8">
        <w:rPr>
          <w:rFonts w:ascii="標楷體" w:eastAsia="標楷體" w:hAnsi="標楷體" w:hint="eastAsia"/>
        </w:rPr>
        <w:t>相關研究指出，沙盤可作為一種協助受督者釋放情緒、降低督導焦慮與壓力的媒介，同時引導其以更有創意與象徵性的方式重新觀看自身與案主的關係，促進概念化與自我反思</w:t>
      </w:r>
      <w:r w:rsidR="009E59EB" w:rsidRPr="009E59EB">
        <w:rPr>
          <w:rFonts w:ascii="標楷體" w:eastAsia="標楷體" w:hAnsi="標楷體" w:hint="eastAsia"/>
        </w:rPr>
        <w:t xml:space="preserve">（Garrett, 2017；Lahad, </w:t>
      </w:r>
      <w:r w:rsidR="009E59EB" w:rsidRPr="009E59EB">
        <w:rPr>
          <w:rFonts w:ascii="標楷體" w:eastAsia="標楷體" w:hAnsi="標楷體" w:hint="eastAsia"/>
        </w:rPr>
        <w:lastRenderedPageBreak/>
        <w:t>2000）</w:t>
      </w:r>
      <w:r w:rsidR="00504EE7" w:rsidRPr="00AD07D8">
        <w:rPr>
          <w:rFonts w:ascii="標楷體" w:eastAsia="標楷體" w:hAnsi="標楷體" w:hint="eastAsia"/>
        </w:rPr>
        <w:t>。</w:t>
      </w:r>
      <w:r w:rsidRPr="00AD07D8">
        <w:rPr>
          <w:rFonts w:ascii="標楷體" w:eastAsia="標楷體" w:hAnsi="標楷體" w:hint="eastAsia"/>
        </w:rPr>
        <w:t>然而，</w:t>
      </w:r>
      <w:r w:rsidR="009E59EB">
        <w:rPr>
          <w:rFonts w:ascii="標楷體" w:eastAsia="標楷體" w:hAnsi="標楷體" w:hint="eastAsia"/>
        </w:rPr>
        <w:t>國內</w:t>
      </w:r>
      <w:r w:rsidR="00247E0C">
        <w:rPr>
          <w:rFonts w:ascii="標楷體" w:eastAsia="標楷體" w:hAnsi="標楷體" w:hint="eastAsia"/>
        </w:rPr>
        <w:t>尚未有相關</w:t>
      </w:r>
      <w:r w:rsidR="003720B2">
        <w:rPr>
          <w:rFonts w:ascii="標楷體" w:eastAsia="標楷體" w:hAnsi="標楷體" w:hint="eastAsia"/>
        </w:rPr>
        <w:t>研究探究沙盤督導運用於實習或新手專輔的個別督導歷程中</w:t>
      </w:r>
      <w:r w:rsidR="000C6269">
        <w:rPr>
          <w:rFonts w:ascii="標楷體" w:eastAsia="標楷體" w:hAnsi="標楷體" w:hint="eastAsia"/>
        </w:rPr>
        <w:t>之焦點</w:t>
      </w:r>
      <w:r w:rsidR="001356B3">
        <w:rPr>
          <w:rFonts w:ascii="標楷體" w:eastAsia="標楷體" w:hAnsi="標楷體" w:hint="eastAsia"/>
        </w:rPr>
        <w:t>與</w:t>
      </w:r>
      <w:r w:rsidR="007472E8">
        <w:rPr>
          <w:rFonts w:ascii="標楷體" w:eastAsia="標楷體" w:hAnsi="標楷體" w:hint="eastAsia"/>
        </w:rPr>
        <w:t>效益</w:t>
      </w:r>
      <w:r w:rsidR="003720B2">
        <w:rPr>
          <w:rFonts w:ascii="標楷體" w:eastAsia="標楷體" w:hAnsi="標楷體" w:hint="eastAsia"/>
        </w:rPr>
        <w:t>，</w:t>
      </w:r>
      <w:r w:rsidR="00BD37E8">
        <w:rPr>
          <w:rFonts w:ascii="標楷體" w:eastAsia="標楷體" w:hAnsi="標楷體" w:hint="eastAsia"/>
        </w:rPr>
        <w:t>實屬可惜</w:t>
      </w:r>
      <w:r w:rsidR="003720B2">
        <w:rPr>
          <w:rFonts w:ascii="標楷體" w:eastAsia="標楷體" w:hAnsi="標楷體" w:hint="eastAsia"/>
        </w:rPr>
        <w:t>。</w:t>
      </w:r>
    </w:p>
    <w:p w:rsidR="00504EE7" w:rsidRPr="00AD07D8" w:rsidRDefault="00986DCF"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基於以上實務觀察與理論啟發，研究者嘗試將沙盤運用於新手專輔的個別督導歷程中，並結合七眼督導模型作為分析架構，探討沙盤與非沙盤（口語）歷程在督導焦點與受益層面的差異。期望藉由此研究提供對新手專輔更具支持性、個體化且具有創造性的督導實務設計，協助他們在初階職涯階段度過角色建構與理論實踐的碰撞期，逐步形塑穩定的專業認同與因應策略。</w:t>
      </w:r>
    </w:p>
    <w:p w:rsidR="00504EE7" w:rsidRPr="00AD07D8" w:rsidRDefault="00504EE7" w:rsidP="00C262D1">
      <w:pPr>
        <w:jc w:val="both"/>
        <w:rPr>
          <w:rFonts w:ascii="標楷體" w:eastAsia="標楷體" w:hAnsi="標楷體"/>
        </w:rPr>
      </w:pPr>
    </w:p>
    <w:p w:rsidR="00504EE7" w:rsidRPr="00BB2E6E" w:rsidRDefault="00986DCF" w:rsidP="00C262D1">
      <w:pPr>
        <w:jc w:val="both"/>
        <w:rPr>
          <w:rFonts w:ascii="標楷體" w:eastAsia="標楷體" w:hAnsi="標楷體"/>
          <w:b/>
        </w:rPr>
      </w:pPr>
      <w:r w:rsidRPr="00BB2E6E">
        <w:rPr>
          <w:rFonts w:ascii="標楷體" w:eastAsia="標楷體" w:hAnsi="標楷體" w:hint="eastAsia"/>
          <w:b/>
        </w:rPr>
        <w:t>貳、</w:t>
      </w:r>
      <w:r w:rsidR="00504EE7" w:rsidRPr="00BB2E6E">
        <w:rPr>
          <w:rFonts w:ascii="標楷體" w:eastAsia="標楷體" w:hAnsi="標楷體" w:hint="eastAsia"/>
          <w:b/>
        </w:rPr>
        <w:t>研究目的</w:t>
      </w:r>
    </w:p>
    <w:p w:rsidR="00504EE7" w:rsidRPr="00AD07D8" w:rsidRDefault="00986DCF"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本研究旨在運用七眼督導模型（Seven-Eyed Model of Supervision）作為分析架構，比較沙盤融入督導歷程與非沙盤（僅口語）</w:t>
      </w:r>
      <w:r w:rsidR="00174D86">
        <w:rPr>
          <w:rFonts w:ascii="標楷體" w:eastAsia="標楷體" w:hAnsi="標楷體" w:hint="eastAsia"/>
        </w:rPr>
        <w:t>督導歷程中，新手專任輔導教師於督導歷程中所呈現之焦點與受益差異，以期進一步探究新手專輔教師適合之督導模式，</w:t>
      </w:r>
      <w:r w:rsidR="00504EE7" w:rsidRPr="00AD07D8">
        <w:rPr>
          <w:rFonts w:ascii="標楷體" w:eastAsia="標楷體" w:hAnsi="標楷體" w:hint="eastAsia"/>
        </w:rPr>
        <w:t>具體</w:t>
      </w:r>
      <w:r w:rsidR="00174D86">
        <w:rPr>
          <w:rFonts w:ascii="標楷體" w:eastAsia="標楷體" w:hAnsi="標楷體" w:hint="eastAsia"/>
        </w:rPr>
        <w:t>研究</w:t>
      </w:r>
      <w:r w:rsidR="00504EE7" w:rsidRPr="00AD07D8">
        <w:rPr>
          <w:rFonts w:ascii="標楷體" w:eastAsia="標楷體" w:hAnsi="標楷體" w:hint="eastAsia"/>
        </w:rPr>
        <w:t>目的如下：</w:t>
      </w:r>
    </w:p>
    <w:p w:rsidR="00986DCF" w:rsidRPr="00AD07D8" w:rsidRDefault="00986DCF" w:rsidP="00C262D1">
      <w:pPr>
        <w:pStyle w:val="a7"/>
        <w:numPr>
          <w:ilvl w:val="0"/>
          <w:numId w:val="1"/>
        </w:numPr>
        <w:ind w:leftChars="0"/>
        <w:jc w:val="both"/>
        <w:rPr>
          <w:rFonts w:ascii="標楷體" w:eastAsia="標楷體" w:hAnsi="標楷體"/>
        </w:rPr>
      </w:pPr>
      <w:r w:rsidRPr="00AD07D8">
        <w:rPr>
          <w:rFonts w:ascii="標楷體" w:eastAsia="標楷體" w:hAnsi="標楷體" w:hint="eastAsia"/>
        </w:rPr>
        <w:t>分析沙盤與非沙盤兩種督導歷程中，督導者與受督者(</w:t>
      </w:r>
      <w:r w:rsidR="009A562A" w:rsidRPr="00AD07D8">
        <w:rPr>
          <w:rFonts w:ascii="標楷體" w:eastAsia="標楷體" w:hAnsi="標楷體" w:hint="eastAsia"/>
        </w:rPr>
        <w:t>實習/</w:t>
      </w:r>
      <w:r w:rsidRPr="00AD07D8">
        <w:rPr>
          <w:rFonts w:ascii="標楷體" w:eastAsia="標楷體" w:hAnsi="標楷體" w:hint="eastAsia"/>
        </w:rPr>
        <w:t>新手專輔)</w:t>
      </w:r>
      <w:r w:rsidR="006F138F" w:rsidRPr="00AD07D8">
        <w:rPr>
          <w:rFonts w:ascii="標楷體" w:eastAsia="標楷體" w:hAnsi="標楷體" w:hint="eastAsia"/>
        </w:rPr>
        <w:t>於督導過程中</w:t>
      </w:r>
      <w:r w:rsidR="00855271" w:rsidRPr="00855271">
        <w:rPr>
          <w:rFonts w:ascii="標楷體" w:eastAsia="標楷體" w:hAnsi="標楷體" w:hint="eastAsia"/>
        </w:rPr>
        <w:t>視角</w:t>
      </w:r>
      <w:r w:rsidR="008F79D4" w:rsidRPr="00AD07D8">
        <w:rPr>
          <w:rFonts w:ascii="標楷體" w:eastAsia="標楷體" w:hAnsi="標楷體" w:hint="eastAsia"/>
        </w:rPr>
        <w:t>在七眼督導模式</w:t>
      </w:r>
      <w:r w:rsidR="00504EE7" w:rsidRPr="00AD07D8">
        <w:rPr>
          <w:rFonts w:ascii="標楷體" w:eastAsia="標楷體" w:hAnsi="標楷體" w:hint="eastAsia"/>
        </w:rPr>
        <w:t>中的分布情形。</w:t>
      </w:r>
    </w:p>
    <w:p w:rsidR="00504EE7" w:rsidRPr="00AD07D8" w:rsidRDefault="00504EE7" w:rsidP="00C262D1">
      <w:pPr>
        <w:pStyle w:val="a7"/>
        <w:numPr>
          <w:ilvl w:val="0"/>
          <w:numId w:val="1"/>
        </w:numPr>
        <w:ind w:leftChars="0"/>
        <w:jc w:val="both"/>
        <w:rPr>
          <w:rFonts w:ascii="標楷體" w:eastAsia="標楷體" w:hAnsi="標楷體"/>
        </w:rPr>
      </w:pPr>
      <w:r w:rsidRPr="00AD07D8">
        <w:rPr>
          <w:rFonts w:ascii="標楷體" w:eastAsia="標楷體" w:hAnsi="標楷體" w:hint="eastAsia"/>
        </w:rPr>
        <w:t>探討沙盤與非沙盤</w:t>
      </w:r>
      <w:r w:rsidR="0085373D">
        <w:rPr>
          <w:rFonts w:ascii="標楷體" w:eastAsia="標楷體" w:hAnsi="標楷體" w:hint="eastAsia"/>
        </w:rPr>
        <w:t>督導</w:t>
      </w:r>
      <w:r w:rsidRPr="00AD07D8">
        <w:rPr>
          <w:rFonts w:ascii="標楷體" w:eastAsia="標楷體" w:hAnsi="標楷體" w:hint="eastAsia"/>
        </w:rPr>
        <w:t>歷程中，</w:t>
      </w:r>
      <w:r w:rsidR="008F79D4" w:rsidRPr="00AD07D8">
        <w:rPr>
          <w:rFonts w:ascii="標楷體" w:eastAsia="標楷體" w:hAnsi="標楷體" w:hint="eastAsia"/>
        </w:rPr>
        <w:t>實習/</w:t>
      </w:r>
      <w:r w:rsidR="00986DCF" w:rsidRPr="00AD07D8">
        <w:rPr>
          <w:rFonts w:ascii="標楷體" w:eastAsia="標楷體" w:hAnsi="標楷體" w:hint="eastAsia"/>
        </w:rPr>
        <w:t>新手專輔在</w:t>
      </w:r>
      <w:r w:rsidR="008F79D4" w:rsidRPr="00AD07D8">
        <w:rPr>
          <w:rFonts w:ascii="標楷體" w:eastAsia="標楷體" w:hAnsi="標楷體" w:hint="eastAsia"/>
        </w:rPr>
        <w:t>受督導過程中呈現出的督導重心</w:t>
      </w:r>
      <w:r w:rsidRPr="00AD07D8">
        <w:rPr>
          <w:rFonts w:ascii="標楷體" w:eastAsia="標楷體" w:hAnsi="標楷體" w:hint="eastAsia"/>
        </w:rPr>
        <w:t>聚焦於哪些層面。</w:t>
      </w:r>
    </w:p>
    <w:p w:rsidR="00504EE7" w:rsidRPr="00AD07D8" w:rsidRDefault="00174D86" w:rsidP="00C262D1">
      <w:pPr>
        <w:pStyle w:val="a7"/>
        <w:numPr>
          <w:ilvl w:val="0"/>
          <w:numId w:val="1"/>
        </w:numPr>
        <w:ind w:leftChars="0"/>
        <w:jc w:val="both"/>
        <w:rPr>
          <w:rFonts w:ascii="標楷體" w:eastAsia="標楷體" w:hAnsi="標楷體"/>
        </w:rPr>
      </w:pPr>
      <w:r>
        <w:rPr>
          <w:rFonts w:ascii="標楷體" w:eastAsia="標楷體" w:hAnsi="標楷體" w:hint="eastAsia"/>
        </w:rPr>
        <w:t>彙整</w:t>
      </w:r>
      <w:r w:rsidR="009A562A" w:rsidRPr="00AD07D8">
        <w:rPr>
          <w:rFonts w:ascii="標楷體" w:eastAsia="標楷體" w:hAnsi="標楷體" w:hint="eastAsia"/>
        </w:rPr>
        <w:t>實習/新手專輔受督者</w:t>
      </w:r>
      <w:r>
        <w:rPr>
          <w:rFonts w:ascii="標楷體" w:eastAsia="標楷體" w:hAnsi="標楷體" w:hint="eastAsia"/>
        </w:rPr>
        <w:t>於沙盤與非沙盤歷程中的督導受益回饋，</w:t>
      </w:r>
      <w:r w:rsidR="001249F4" w:rsidRPr="00AD07D8">
        <w:rPr>
          <w:rFonts w:ascii="標楷體" w:eastAsia="標楷體" w:hAnsi="標楷體" w:hint="eastAsia"/>
        </w:rPr>
        <w:t>提出對實習與新手輔導教師專業</w:t>
      </w:r>
      <w:r w:rsidR="00504EE7" w:rsidRPr="00AD07D8">
        <w:rPr>
          <w:rFonts w:ascii="標楷體" w:eastAsia="標楷體" w:hAnsi="標楷體" w:hint="eastAsia"/>
        </w:rPr>
        <w:t>督導實務設計的建議。</w:t>
      </w:r>
    </w:p>
    <w:p w:rsidR="001249F4" w:rsidRPr="00AD07D8" w:rsidRDefault="001249F4" w:rsidP="00C262D1">
      <w:pPr>
        <w:jc w:val="both"/>
        <w:rPr>
          <w:rFonts w:ascii="標楷體" w:eastAsia="標楷體" w:hAnsi="標楷體"/>
        </w:rPr>
      </w:pPr>
    </w:p>
    <w:p w:rsidR="00504EE7" w:rsidRPr="00BB2E6E" w:rsidRDefault="001249F4" w:rsidP="00C262D1">
      <w:pPr>
        <w:jc w:val="both"/>
        <w:rPr>
          <w:rFonts w:ascii="標楷體" w:eastAsia="標楷體" w:hAnsi="標楷體"/>
          <w:b/>
        </w:rPr>
      </w:pPr>
      <w:r w:rsidRPr="00BB2E6E">
        <w:rPr>
          <w:rFonts w:ascii="標楷體" w:eastAsia="標楷體" w:hAnsi="標楷體" w:hint="eastAsia"/>
          <w:b/>
        </w:rPr>
        <w:t>參、</w:t>
      </w:r>
      <w:r w:rsidR="00504EE7" w:rsidRPr="00BB2E6E">
        <w:rPr>
          <w:rFonts w:ascii="標楷體" w:eastAsia="標楷體" w:hAnsi="標楷體" w:hint="eastAsia"/>
          <w:b/>
        </w:rPr>
        <w:t>研究問題</w:t>
      </w:r>
    </w:p>
    <w:p w:rsidR="00504EE7" w:rsidRPr="00AD07D8" w:rsidRDefault="001249F4" w:rsidP="00C262D1">
      <w:pPr>
        <w:jc w:val="both"/>
        <w:rPr>
          <w:rFonts w:ascii="標楷體" w:eastAsia="標楷體" w:hAnsi="標楷體"/>
        </w:rPr>
      </w:pPr>
      <w:r w:rsidRPr="00AD07D8">
        <w:rPr>
          <w:rFonts w:ascii="標楷體" w:eastAsia="標楷體" w:hAnsi="標楷體" w:hint="eastAsia"/>
        </w:rPr>
        <w:t>一、</w:t>
      </w:r>
      <w:r w:rsidR="00504EE7" w:rsidRPr="00AD07D8">
        <w:rPr>
          <w:rFonts w:ascii="標楷體" w:eastAsia="標楷體" w:hAnsi="標楷體" w:hint="eastAsia"/>
        </w:rPr>
        <w:t>在</w:t>
      </w:r>
      <w:r w:rsidR="004E5619" w:rsidRPr="00AD07D8">
        <w:rPr>
          <w:rFonts w:ascii="標楷體" w:eastAsia="標楷體" w:hAnsi="標楷體" w:hint="eastAsia"/>
        </w:rPr>
        <w:t>新手專輔接受沙盤督導歷程中，</w:t>
      </w:r>
      <w:r w:rsidR="00DD021E" w:rsidRPr="00AD07D8">
        <w:rPr>
          <w:rFonts w:ascii="標楷體" w:eastAsia="標楷體" w:hAnsi="標楷體" w:hint="eastAsia"/>
        </w:rPr>
        <w:t>以</w:t>
      </w:r>
      <w:r w:rsidR="004E5619" w:rsidRPr="00AD07D8">
        <w:rPr>
          <w:rFonts w:ascii="標楷體" w:eastAsia="標楷體" w:hAnsi="標楷體" w:hint="eastAsia"/>
        </w:rPr>
        <w:t>七眼督導</w:t>
      </w:r>
      <w:r w:rsidR="00CB011D" w:rsidRPr="00AD07D8">
        <w:rPr>
          <w:rFonts w:ascii="標楷體" w:eastAsia="標楷體" w:hAnsi="標楷體" w:hint="eastAsia"/>
        </w:rPr>
        <w:t>模式</w:t>
      </w:r>
      <w:r w:rsidR="004E5619" w:rsidRPr="00AD07D8">
        <w:rPr>
          <w:rFonts w:ascii="標楷體" w:eastAsia="標楷體" w:hAnsi="標楷體" w:hint="eastAsia"/>
        </w:rPr>
        <w:t>分析</w:t>
      </w:r>
      <w:r w:rsidR="00DD021E" w:rsidRPr="00AD07D8">
        <w:rPr>
          <w:rFonts w:ascii="標楷體" w:eastAsia="標楷體" w:hAnsi="標楷體" w:hint="eastAsia"/>
        </w:rPr>
        <w:t>呈現</w:t>
      </w:r>
      <w:r w:rsidR="004E5619" w:rsidRPr="00AD07D8">
        <w:rPr>
          <w:rFonts w:ascii="標楷體" w:eastAsia="標楷體" w:hAnsi="標楷體" w:hint="eastAsia"/>
        </w:rPr>
        <w:t>之焦點為何</w:t>
      </w:r>
      <w:r w:rsidR="00504EE7" w:rsidRPr="00AD07D8">
        <w:rPr>
          <w:rFonts w:ascii="標楷體" w:eastAsia="標楷體" w:hAnsi="標楷體" w:hint="eastAsia"/>
        </w:rPr>
        <w:t>？</w:t>
      </w:r>
      <w:r w:rsidR="00DD021E" w:rsidRPr="00AD07D8">
        <w:rPr>
          <w:rFonts w:ascii="標楷體" w:eastAsia="標楷體" w:hAnsi="標楷體"/>
        </w:rPr>
        <w:t xml:space="preserve"> </w:t>
      </w:r>
    </w:p>
    <w:p w:rsidR="00DD021E" w:rsidRPr="00AD07D8" w:rsidRDefault="00DD021E" w:rsidP="00C262D1">
      <w:pPr>
        <w:jc w:val="both"/>
        <w:rPr>
          <w:rFonts w:ascii="標楷體" w:eastAsia="標楷體" w:hAnsi="標楷體"/>
        </w:rPr>
      </w:pPr>
      <w:r w:rsidRPr="00AD07D8">
        <w:rPr>
          <w:rFonts w:ascii="標楷體" w:eastAsia="標楷體" w:hAnsi="標楷體" w:hint="eastAsia"/>
        </w:rPr>
        <w:t>二、在新手專輔接受非沙盤督導歷程中，以七眼督導</w:t>
      </w:r>
      <w:r w:rsidR="00CB011D" w:rsidRPr="00AD07D8">
        <w:rPr>
          <w:rFonts w:ascii="標楷體" w:eastAsia="標楷體" w:hAnsi="標楷體" w:hint="eastAsia"/>
        </w:rPr>
        <w:t>模式</w:t>
      </w:r>
      <w:r w:rsidRPr="00AD07D8">
        <w:rPr>
          <w:rFonts w:ascii="標楷體" w:eastAsia="標楷體" w:hAnsi="標楷體" w:hint="eastAsia"/>
        </w:rPr>
        <w:t>分析呈現之焦點為何？</w:t>
      </w:r>
    </w:p>
    <w:p w:rsidR="00504EE7" w:rsidRPr="00AD07D8" w:rsidRDefault="002D4A87" w:rsidP="00C262D1">
      <w:pPr>
        <w:jc w:val="both"/>
        <w:rPr>
          <w:rFonts w:ascii="標楷體" w:eastAsia="標楷體" w:hAnsi="標楷體"/>
        </w:rPr>
      </w:pPr>
      <w:r w:rsidRPr="00AD07D8">
        <w:rPr>
          <w:rFonts w:ascii="標楷體" w:eastAsia="標楷體" w:hAnsi="標楷體" w:hint="eastAsia"/>
        </w:rPr>
        <w:t>三</w:t>
      </w:r>
      <w:r w:rsidR="001249F4" w:rsidRPr="00AD07D8">
        <w:rPr>
          <w:rFonts w:ascii="標楷體" w:eastAsia="標楷體" w:hAnsi="標楷體" w:hint="eastAsia"/>
        </w:rPr>
        <w:t>、</w:t>
      </w:r>
      <w:r w:rsidRPr="00AD07D8">
        <w:rPr>
          <w:rFonts w:ascii="標楷體" w:eastAsia="標楷體" w:hAnsi="標楷體" w:hint="eastAsia"/>
        </w:rPr>
        <w:t>七眼督導模式中哪些類型於新手專輔沙盤督導歷程中</w:t>
      </w:r>
      <w:r w:rsidR="00504EE7" w:rsidRPr="00AD07D8">
        <w:rPr>
          <w:rFonts w:ascii="標楷體" w:eastAsia="標楷體" w:hAnsi="標楷體" w:hint="eastAsia"/>
        </w:rPr>
        <w:t>頻繁啟動？與非沙盤歷程相比，其出現類型與比例有何差異？</w:t>
      </w:r>
    </w:p>
    <w:p w:rsidR="002D4A87" w:rsidRPr="00AD07D8" w:rsidRDefault="002D4A87" w:rsidP="00C262D1">
      <w:pPr>
        <w:jc w:val="both"/>
        <w:rPr>
          <w:rFonts w:ascii="標楷體" w:eastAsia="標楷體" w:hAnsi="標楷體"/>
        </w:rPr>
      </w:pPr>
      <w:r w:rsidRPr="00AD07D8">
        <w:rPr>
          <w:rFonts w:ascii="標楷體" w:eastAsia="標楷體" w:hAnsi="標楷體" w:hint="eastAsia"/>
        </w:rPr>
        <w:t>四、新手專輔</w:t>
      </w:r>
      <w:r w:rsidR="0030631F" w:rsidRPr="00AD07D8">
        <w:rPr>
          <w:rFonts w:ascii="標楷體" w:eastAsia="標楷體" w:hAnsi="標楷體" w:hint="eastAsia"/>
        </w:rPr>
        <w:t>在兩種歷程中的督導受益</w:t>
      </w:r>
      <w:r w:rsidR="00504EE7" w:rsidRPr="00AD07D8">
        <w:rPr>
          <w:rFonts w:ascii="標楷體" w:eastAsia="標楷體" w:hAnsi="標楷體" w:hint="eastAsia"/>
        </w:rPr>
        <w:t>為何？</w:t>
      </w:r>
      <w:r w:rsidR="001249F4" w:rsidRPr="00AD07D8">
        <w:rPr>
          <w:rFonts w:ascii="標楷體" w:eastAsia="標楷體" w:hAnsi="標楷體" w:hint="eastAsia"/>
        </w:rPr>
        <w:t>其</w:t>
      </w:r>
      <w:r w:rsidRPr="00AD07D8">
        <w:rPr>
          <w:rFonts w:ascii="標楷體" w:eastAsia="標楷體" w:hAnsi="標楷體" w:hint="eastAsia"/>
        </w:rPr>
        <w:t>對</w:t>
      </w:r>
      <w:r w:rsidR="00670B2F" w:rsidRPr="00AD07D8">
        <w:rPr>
          <w:rFonts w:ascii="標楷體" w:eastAsia="標楷體" w:hAnsi="標楷體" w:hint="eastAsia"/>
        </w:rPr>
        <w:t>受益層面之</w:t>
      </w:r>
      <w:r w:rsidR="001249F4" w:rsidRPr="00AD07D8">
        <w:rPr>
          <w:rFonts w:ascii="標楷體" w:eastAsia="標楷體" w:hAnsi="標楷體" w:hint="eastAsia"/>
        </w:rPr>
        <w:t>個別詮釋為何？</w:t>
      </w:r>
    </w:p>
    <w:p w:rsidR="00504EE7" w:rsidRPr="00AD07D8" w:rsidRDefault="00504EE7" w:rsidP="00C262D1">
      <w:pPr>
        <w:jc w:val="both"/>
        <w:rPr>
          <w:rFonts w:ascii="標楷體" w:eastAsia="標楷體" w:hAnsi="標楷體"/>
        </w:rPr>
      </w:pPr>
    </w:p>
    <w:p w:rsidR="00504EE7" w:rsidRPr="00BB2E6E" w:rsidRDefault="001D71CC" w:rsidP="00C262D1">
      <w:pPr>
        <w:jc w:val="both"/>
        <w:rPr>
          <w:rFonts w:ascii="標楷體" w:eastAsia="標楷體" w:hAnsi="標楷體"/>
          <w:b/>
        </w:rPr>
      </w:pPr>
      <w:r w:rsidRPr="00BB2E6E">
        <w:rPr>
          <w:rFonts w:ascii="標楷體" w:eastAsia="標楷體" w:hAnsi="標楷體" w:hint="eastAsia"/>
          <w:b/>
        </w:rPr>
        <w:t>肆、</w:t>
      </w:r>
      <w:r w:rsidR="00504EE7" w:rsidRPr="00BB2E6E">
        <w:rPr>
          <w:rFonts w:ascii="標楷體" w:eastAsia="標楷體" w:hAnsi="標楷體" w:hint="eastAsia"/>
          <w:b/>
        </w:rPr>
        <w:t>文獻探討</w:t>
      </w:r>
    </w:p>
    <w:p w:rsidR="00504EE7" w:rsidRPr="00E4260B" w:rsidRDefault="00504EE7" w:rsidP="00C262D1">
      <w:pPr>
        <w:jc w:val="both"/>
        <w:rPr>
          <w:rFonts w:ascii="標楷體" w:eastAsia="標楷體" w:hAnsi="標楷體"/>
          <w:b/>
        </w:rPr>
      </w:pPr>
      <w:r w:rsidRPr="00E4260B">
        <w:rPr>
          <w:rFonts w:ascii="標楷體" w:eastAsia="標楷體" w:hAnsi="標楷體" w:hint="eastAsia"/>
          <w:b/>
        </w:rPr>
        <w:t>一、新手專任輔導教師的督導需求與學術觀點回顧</w:t>
      </w:r>
    </w:p>
    <w:p w:rsidR="00504EE7" w:rsidRPr="00AD07D8" w:rsidRDefault="001D71CC" w:rsidP="00C262D1">
      <w:pPr>
        <w:jc w:val="both"/>
        <w:rPr>
          <w:rFonts w:ascii="標楷體" w:eastAsia="標楷體" w:hAnsi="標楷體"/>
        </w:rPr>
      </w:pPr>
      <w:r w:rsidRPr="00AD07D8">
        <w:rPr>
          <w:rFonts w:ascii="標楷體" w:eastAsia="標楷體" w:hAnsi="標楷體" w:hint="eastAsia"/>
        </w:rPr>
        <w:t xml:space="preserve">    實習與</w:t>
      </w:r>
      <w:r w:rsidR="00504EE7" w:rsidRPr="00AD07D8">
        <w:rPr>
          <w:rFonts w:ascii="標楷體" w:eastAsia="標楷體" w:hAnsi="標楷體" w:hint="eastAsia"/>
        </w:rPr>
        <w:t>新手專任輔導教師</w:t>
      </w:r>
      <w:r w:rsidR="00855271">
        <w:rPr>
          <w:rFonts w:ascii="標楷體" w:eastAsia="標楷體" w:hAnsi="標楷體" w:hint="eastAsia"/>
        </w:rPr>
        <w:t>（以下簡稱新手專輔）於職涯初期，經常面臨多重角色期待與專業定位模糊</w:t>
      </w:r>
      <w:r w:rsidR="00504EE7" w:rsidRPr="00AD07D8">
        <w:rPr>
          <w:rFonts w:ascii="標楷體" w:eastAsia="標楷體" w:hAnsi="標楷體" w:hint="eastAsia"/>
        </w:rPr>
        <w:t>的挑戰。國內外研究指出，新手輔導教師不僅需應對學生輔導的複雜性，亦常處於行政與教學系統之間的溝通張力中，導致其在自我效能感、專業信心與職業承諾上產生動搖（Borders &amp; Usher, 1992；Ramos &amp; Vázquez, 2022）。</w:t>
      </w:r>
    </w:p>
    <w:p w:rsidR="00504EE7" w:rsidRPr="00AD07D8" w:rsidRDefault="001D71CC"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在國內學校輔導體系中，團體或同儕督導雖已制度化，但姜兆眉等人（2023）調查發現，多數新手輔導教師仍認為現有的督導形式較難回應其個別化實務挑戰與心理支持需求。Harvey &amp; Struzziero（2008）亦指出，若未提供適切的臨床督導支持，初任輔導人員容易出現職業倦怠與專業流失的風險。</w:t>
      </w:r>
    </w:p>
    <w:p w:rsidR="002E2014" w:rsidRDefault="001D71CC" w:rsidP="00C262D1">
      <w:pPr>
        <w:jc w:val="both"/>
        <w:rPr>
          <w:rFonts w:ascii="標楷體" w:eastAsia="標楷體" w:hAnsi="標楷體"/>
        </w:rPr>
      </w:pPr>
      <w:r w:rsidRPr="00AD07D8">
        <w:rPr>
          <w:rFonts w:ascii="標楷體" w:eastAsia="標楷體" w:hAnsi="標楷體" w:hint="eastAsia"/>
        </w:rPr>
        <w:lastRenderedPageBreak/>
        <w:t xml:space="preserve">    </w:t>
      </w:r>
      <w:r w:rsidR="00504EE7" w:rsidRPr="00AD07D8">
        <w:rPr>
          <w:rFonts w:ascii="標楷體" w:eastAsia="標楷體" w:hAnsi="標楷體" w:hint="eastAsia"/>
        </w:rPr>
        <w:t>針對新手專輔在督導中的困境與需求，Evans Zalewski 等人（2024）強調，臨床型個別督導可有效促進其專業自我認同發展、自我反思能力與介入判斷敏感度。</w:t>
      </w:r>
    </w:p>
    <w:p w:rsidR="00504EE7" w:rsidRPr="00AD07D8" w:rsidRDefault="001D71CC"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雖然如林靜宜（2019）提出的「覺察式系統督導模式（SASM）」等研究，已針對專輔實務建構出具有回應性的督導架構，然而整體而言，國</w:t>
      </w:r>
      <w:r w:rsidRPr="00AD07D8">
        <w:rPr>
          <w:rFonts w:ascii="標楷體" w:eastAsia="標楷體" w:hAnsi="標楷體" w:hint="eastAsia"/>
        </w:rPr>
        <w:t>內針對「學校場域中之新手專輔教師」的個別化督導比較研究仍屬不足，</w:t>
      </w:r>
      <w:r w:rsidR="00504EE7" w:rsidRPr="00AD07D8">
        <w:rPr>
          <w:rFonts w:ascii="標楷體" w:eastAsia="標楷體" w:hAnsi="標楷體" w:hint="eastAsia"/>
        </w:rPr>
        <w:t>特別是在結合多元理論架構</w:t>
      </w:r>
      <w:r w:rsidRPr="00AD07D8">
        <w:rPr>
          <w:rFonts w:ascii="標楷體" w:eastAsia="標楷體" w:hAnsi="標楷體" w:hint="eastAsia"/>
        </w:rPr>
        <w:t>與創造性媒材介入對新手專輔之影響層面，</w:t>
      </w:r>
      <w:r w:rsidR="00504EE7" w:rsidRPr="00AD07D8">
        <w:rPr>
          <w:rFonts w:ascii="標楷體" w:eastAsia="標楷體" w:hAnsi="標楷體" w:hint="eastAsia"/>
        </w:rPr>
        <w:t>尚未</w:t>
      </w:r>
      <w:r w:rsidRPr="00AD07D8">
        <w:rPr>
          <w:rFonts w:ascii="標楷體" w:eastAsia="標楷體" w:hAnsi="標楷體" w:hint="eastAsia"/>
        </w:rPr>
        <w:t>有</w:t>
      </w:r>
      <w:r w:rsidR="00675D13" w:rsidRPr="00AD07D8">
        <w:rPr>
          <w:rFonts w:ascii="標楷體" w:eastAsia="標楷體" w:hAnsi="標楷體" w:hint="eastAsia"/>
        </w:rPr>
        <w:t>被充分探討的研究產出。</w:t>
      </w:r>
    </w:p>
    <w:p w:rsidR="00504EE7" w:rsidRPr="00E4260B" w:rsidRDefault="00504EE7" w:rsidP="00C262D1">
      <w:pPr>
        <w:jc w:val="both"/>
        <w:rPr>
          <w:rFonts w:ascii="標楷體" w:eastAsia="標楷體" w:hAnsi="標楷體"/>
          <w:b/>
        </w:rPr>
      </w:pPr>
      <w:r w:rsidRPr="00E4260B">
        <w:rPr>
          <w:rFonts w:ascii="標楷體" w:eastAsia="標楷體" w:hAnsi="標楷體" w:hint="eastAsia"/>
          <w:b/>
        </w:rPr>
        <w:t>二、七眼督導模型之理論基礎與實務應用</w:t>
      </w:r>
    </w:p>
    <w:p w:rsidR="00504EE7" w:rsidRPr="00AD07D8" w:rsidRDefault="00675D13"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七眼督導模型（Seven-Eyed Model of Supervision）最早由 Hawkins 與 Shohet（1989）提出，並於 2012 年重新整理為一套強調關係、系統與反思並重的整合式督導架構。該模型主張，督導歷程中的每一句話、每一個反應，都可能同時牽涉案主、受督者、督導者與其所在脈絡的交互作用。因此，七眼模型特別適合作為「督導歷程分析視框」，可協助督導者與受督者看見多層次的動力與焦點轉移（Hawkins &amp; Shohet, 2012）。</w:t>
      </w:r>
    </w:p>
    <w:p w:rsidR="00504EE7" w:rsidRPr="00AD07D8" w:rsidRDefault="00675D13"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七眼模型的七個視角依序為：（1）案主本身；（2）受督者所採取的介入行動與策略；（3）案主與受督者的互動關係；（4）受督者的內在感受、信念與位置；（5）受督者與督導者的關係與互動；（6）督導者的內在歷程與反應；（7）更大的系統與脈絡，例如機構、家庭、學校或文化影響（Hawkins &amp; Shohet, 20</w:t>
      </w:r>
      <w:r w:rsidR="00CF5A2B">
        <w:rPr>
          <w:rFonts w:ascii="標楷體" w:eastAsia="標楷體" w:hAnsi="標楷體"/>
        </w:rPr>
        <w:t>20</w:t>
      </w:r>
      <w:r w:rsidR="00504EE7" w:rsidRPr="00AD07D8">
        <w:rPr>
          <w:rFonts w:ascii="標楷體" w:eastAsia="標楷體" w:hAnsi="標楷體" w:hint="eastAsia"/>
        </w:rPr>
        <w:t>）。這七個視角雖各自獨立，但在實務</w:t>
      </w:r>
      <w:r w:rsidRPr="00AD07D8">
        <w:rPr>
          <w:rFonts w:ascii="標楷體" w:eastAsia="標楷體" w:hAnsi="標楷體" w:hint="eastAsia"/>
        </w:rPr>
        <w:t>中經常交織而動態轉換，提供使用者一個靈活但具有結構性的分析框架。</w:t>
      </w:r>
      <w:r w:rsidR="00504EE7" w:rsidRPr="00AD07D8">
        <w:rPr>
          <w:rFonts w:ascii="標楷體" w:eastAsia="標楷體" w:hAnsi="標楷體" w:hint="eastAsia"/>
        </w:rPr>
        <w:t>七眼督導模型的最大特點之一在於，它不</w:t>
      </w:r>
      <w:r w:rsidR="00CF5A2B">
        <w:rPr>
          <w:rFonts w:ascii="標楷體" w:eastAsia="標楷體" w:hAnsi="標楷體" w:hint="eastAsia"/>
        </w:rPr>
        <w:t>僅是一套用於實務工作的對話引導工具，更是一種反思性的系統觀架構，</w:t>
      </w:r>
      <w:r w:rsidR="00504EE7" w:rsidRPr="00AD07D8">
        <w:rPr>
          <w:rFonts w:ascii="標楷體" w:eastAsia="標楷體" w:hAnsi="標楷體" w:hint="eastAsia"/>
        </w:rPr>
        <w:t>幫助受督者在看似單一對話中拆解出不同層次的理解與影響來源</w:t>
      </w:r>
    </w:p>
    <w:p w:rsidR="00504EE7" w:rsidRPr="00AD07D8" w:rsidRDefault="00675D13" w:rsidP="00FE302B">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在實務應用上，七眼督導模型已被廣泛運用於臨床心理、諮商心理與社會工作領域，特別適用於</w:t>
      </w:r>
      <w:r w:rsidR="00504EE7" w:rsidRPr="002307A9">
        <w:rPr>
          <w:rFonts w:ascii="標楷體" w:eastAsia="標楷體" w:hAnsi="標楷體" w:hint="eastAsia"/>
        </w:rPr>
        <w:t>分析多層次動力與支持督導回顧歷程（</w:t>
      </w:r>
      <w:r w:rsidR="002307A9">
        <w:rPr>
          <w:rFonts w:ascii="標楷體" w:eastAsia="標楷體" w:hAnsi="標楷體"/>
        </w:rPr>
        <w:t>Hawkins</w:t>
      </w:r>
      <w:r w:rsidR="00FE302B">
        <w:rPr>
          <w:rFonts w:ascii="標楷體" w:eastAsia="標楷體" w:hAnsi="標楷體"/>
        </w:rPr>
        <w:t xml:space="preserve"> &amp; Shohet, </w:t>
      </w:r>
      <w:r w:rsidR="002307A9">
        <w:rPr>
          <w:rFonts w:ascii="標楷體" w:eastAsia="標楷體" w:hAnsi="標楷體"/>
        </w:rPr>
        <w:t xml:space="preserve"> </w:t>
      </w:r>
      <w:r w:rsidR="002307A9" w:rsidRPr="002307A9">
        <w:rPr>
          <w:rFonts w:ascii="標楷體" w:eastAsia="標楷體" w:hAnsi="標楷體"/>
        </w:rPr>
        <w:t>20</w:t>
      </w:r>
      <w:r w:rsidR="002307A9">
        <w:rPr>
          <w:rFonts w:ascii="標楷體" w:eastAsia="標楷體" w:hAnsi="標楷體"/>
        </w:rPr>
        <w:t>20</w:t>
      </w:r>
      <w:r w:rsidR="002307A9" w:rsidRPr="002307A9">
        <w:rPr>
          <w:rFonts w:ascii="標楷體" w:eastAsia="標楷體" w:hAnsi="標楷體"/>
        </w:rPr>
        <w:t>).</w:t>
      </w:r>
      <w:r w:rsidR="00FE302B">
        <w:rPr>
          <w:rFonts w:ascii="標楷體" w:eastAsia="標楷體" w:hAnsi="標楷體" w:hint="eastAsia"/>
        </w:rPr>
        <w:t>國內</w:t>
      </w:r>
      <w:r w:rsidR="009B33B0">
        <w:rPr>
          <w:rFonts w:ascii="標楷體" w:eastAsia="標楷體" w:hAnsi="標楷體" w:hint="eastAsia"/>
        </w:rPr>
        <w:t>僅少數相關研究</w:t>
      </w:r>
      <w:r w:rsidR="00FE302B">
        <w:rPr>
          <w:rFonts w:ascii="標楷體" w:eastAsia="標楷體" w:hAnsi="標楷體" w:hint="eastAsia"/>
        </w:rPr>
        <w:t>導入七眼架構進行督導歷程</w:t>
      </w:r>
      <w:r w:rsidR="00504EE7" w:rsidRPr="00AD07D8">
        <w:rPr>
          <w:rFonts w:ascii="標楷體" w:eastAsia="標楷體" w:hAnsi="標楷體" w:hint="eastAsia"/>
        </w:rPr>
        <w:t>分</w:t>
      </w:r>
      <w:r w:rsidR="00504EE7" w:rsidRPr="009B33B0">
        <w:rPr>
          <w:rFonts w:ascii="標楷體" w:eastAsia="標楷體" w:hAnsi="標楷體" w:hint="eastAsia"/>
        </w:rPr>
        <w:t>析（</w:t>
      </w:r>
      <w:r w:rsidR="00FE302B" w:rsidRPr="009B33B0">
        <w:rPr>
          <w:rFonts w:ascii="標楷體" w:eastAsia="標楷體" w:hAnsi="標楷體" w:hint="eastAsia"/>
        </w:rPr>
        <w:t>賴姳臻</w:t>
      </w:r>
      <w:r w:rsidR="007576B6">
        <w:rPr>
          <w:rFonts w:ascii="標楷體" w:eastAsia="標楷體" w:hAnsi="標楷體" w:hint="eastAsia"/>
        </w:rPr>
        <w:t>、陳秀蓉</w:t>
      </w:r>
      <w:r w:rsidR="009B33B0" w:rsidRPr="009B33B0">
        <w:rPr>
          <w:rFonts w:ascii="標楷體" w:eastAsia="標楷體" w:hAnsi="標楷體" w:hint="eastAsia"/>
        </w:rPr>
        <w:t>，2023</w:t>
      </w:r>
      <w:r w:rsidR="009B33B0" w:rsidRPr="009B33B0">
        <w:rPr>
          <w:rFonts w:ascii="標楷體" w:eastAsia="標楷體" w:hAnsi="標楷體"/>
        </w:rPr>
        <w:t>）</w:t>
      </w:r>
      <w:r w:rsidR="009B33B0">
        <w:rPr>
          <w:rFonts w:ascii="標楷體" w:eastAsia="標楷體" w:hAnsi="標楷體" w:hint="eastAsia"/>
        </w:rPr>
        <w:t>，其研究</w:t>
      </w:r>
      <w:r w:rsidR="00504EE7" w:rsidRPr="00AD07D8">
        <w:rPr>
          <w:rFonts w:ascii="標楷體" w:eastAsia="標楷體" w:hAnsi="標楷體" w:hint="eastAsia"/>
        </w:rPr>
        <w:t>指出其在促進受督者自我覺察、關係理解與專業發展反思方面，具備高度啟發性與結構穩定性。</w:t>
      </w:r>
    </w:p>
    <w:p w:rsidR="00504EE7" w:rsidRPr="00AD07D8" w:rsidRDefault="00675D13"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然而，現有</w:t>
      </w:r>
      <w:r w:rsidR="00307CA9">
        <w:rPr>
          <w:rFonts w:ascii="標楷體" w:eastAsia="標楷體" w:hAnsi="標楷體" w:hint="eastAsia"/>
        </w:rPr>
        <w:t>國內外</w:t>
      </w:r>
      <w:r w:rsidR="00504EE7" w:rsidRPr="00AD07D8">
        <w:rPr>
          <w:rFonts w:ascii="標楷體" w:eastAsia="標楷體" w:hAnsi="標楷體" w:hint="eastAsia"/>
        </w:rPr>
        <w:t>文獻多聚焦於七眼模型在語言性對談與傳統心理師訓練情境下的應用，對於將七眼架構延伸至沙盤等創造性媒材的歷程分析尚屬罕見。此外，亦缺乏結合七眼視角來分析不同督導介入形式對新手專輔所呈現之參與焦點差異的比較性研究。是故，本研究試圖以七眼模型作為分析主軸，檢視沙盤與非沙盤歷程中新手輔導教師於督導語言中的焦點分布與視角轉化，期待</w:t>
      </w:r>
      <w:r w:rsidR="00414DDD" w:rsidRPr="00AD07D8">
        <w:rPr>
          <w:rFonts w:ascii="標楷體" w:eastAsia="標楷體" w:hAnsi="標楷體" w:hint="eastAsia"/>
        </w:rPr>
        <w:t>藉由此初探研究，拋磚引玉地</w:t>
      </w:r>
      <w:r w:rsidR="00504EE7" w:rsidRPr="00AD07D8">
        <w:rPr>
          <w:rFonts w:ascii="標楷體" w:eastAsia="標楷體" w:hAnsi="標楷體" w:hint="eastAsia"/>
        </w:rPr>
        <w:t>拓展七眼模型在學校輔導現場與創造性督導策略中的應用潛力。</w:t>
      </w:r>
    </w:p>
    <w:p w:rsidR="00504EE7" w:rsidRPr="00E4260B" w:rsidRDefault="00504EE7" w:rsidP="00C262D1">
      <w:pPr>
        <w:jc w:val="both"/>
        <w:rPr>
          <w:rFonts w:ascii="標楷體" w:eastAsia="標楷體" w:hAnsi="標楷體"/>
          <w:b/>
        </w:rPr>
      </w:pPr>
      <w:r w:rsidRPr="00E4260B">
        <w:rPr>
          <w:rFonts w:ascii="標楷體" w:eastAsia="標楷體" w:hAnsi="標楷體" w:hint="eastAsia"/>
          <w:b/>
        </w:rPr>
        <w:t>三、沙盤督導歷程的特性與效果</w:t>
      </w:r>
    </w:p>
    <w:p w:rsidR="00504EE7"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沙盤（Sandtray）原為表達性藝術治療技術之一，強調透過沙具與象徵性建構，協助個體進行非語言性的心理探索與整合。在</w:t>
      </w:r>
      <w:r w:rsidRPr="00AD07D8">
        <w:rPr>
          <w:rFonts w:ascii="標楷體" w:eastAsia="標楷體" w:hAnsi="標楷體" w:hint="eastAsia"/>
        </w:rPr>
        <w:t>國內外</w:t>
      </w:r>
      <w:r w:rsidR="00504EE7" w:rsidRPr="00AD07D8">
        <w:rPr>
          <w:rFonts w:ascii="標楷體" w:eastAsia="標楷體" w:hAnsi="標楷體" w:hint="eastAsia"/>
        </w:rPr>
        <w:t>近年輔導與臨床實務中，沙盤也被逐步應用於督導情境，成為一種創造性、視覺化與具象操作的反思媒材（Homeyer &amp; Sweeney, 2011）。</w:t>
      </w:r>
    </w:p>
    <w:p w:rsidR="00504EE7" w:rsidRPr="00AD07D8" w:rsidRDefault="00663137" w:rsidP="00C262D1">
      <w:pPr>
        <w:jc w:val="both"/>
        <w:rPr>
          <w:rFonts w:ascii="標楷體" w:eastAsia="標楷體" w:hAnsi="標楷體"/>
        </w:rPr>
      </w:pPr>
      <w:r w:rsidRPr="00AD07D8">
        <w:rPr>
          <w:rFonts w:ascii="標楷體" w:eastAsia="標楷體" w:hAnsi="標楷體" w:hint="eastAsia"/>
        </w:rPr>
        <w:lastRenderedPageBreak/>
        <w:t xml:space="preserve">    </w:t>
      </w:r>
      <w:r w:rsidR="00504EE7" w:rsidRPr="00AD07D8">
        <w:rPr>
          <w:rFonts w:ascii="標楷體" w:eastAsia="標楷體" w:hAnsi="標楷體" w:hint="eastAsia"/>
        </w:rPr>
        <w:t>在督導歷程中引入沙盤，有助於受督者將難以言說的內在經驗外化，進一步反映其對個案的理解、自我定位與情緒狀態。Garrett（2017）指出，沙盤可促進受督者的自我覺察與案例概念化，提升其對</w:t>
      </w:r>
      <w:r w:rsidR="00A602CC">
        <w:rPr>
          <w:rFonts w:ascii="標楷體" w:eastAsia="標楷體" w:hAnsi="標楷體" w:hint="eastAsia"/>
        </w:rPr>
        <w:t>督導歷程中關係與位置的覺知。</w:t>
      </w:r>
      <w:r w:rsidR="00504EE7" w:rsidRPr="00AD07D8">
        <w:rPr>
          <w:rFonts w:ascii="標楷體" w:eastAsia="標楷體" w:hAnsi="標楷體" w:hint="eastAsia"/>
        </w:rPr>
        <w:t>Lahad（2000）更強調沙盤能降低受督焦慮，使參與者以創造性與具象方式面對臨床困境，進而激發介入靈感與自我支持的資源感。與純語言督導相比，沙盤歷程具有三大特性：</w:t>
      </w:r>
    </w:p>
    <w:p w:rsidR="00504EE7" w:rsidRPr="00AD07D8" w:rsidRDefault="00663137" w:rsidP="00C262D1">
      <w:pPr>
        <w:jc w:val="both"/>
        <w:rPr>
          <w:rFonts w:ascii="標楷體" w:eastAsia="標楷體" w:hAnsi="標楷體"/>
        </w:rPr>
      </w:pPr>
      <w:r w:rsidRPr="00AD07D8">
        <w:rPr>
          <w:rFonts w:ascii="標楷體" w:eastAsia="標楷體" w:hAnsi="標楷體" w:hint="eastAsia"/>
        </w:rPr>
        <w:t>(一)</w:t>
      </w:r>
      <w:r w:rsidR="00504EE7" w:rsidRPr="00AD07D8">
        <w:rPr>
          <w:rFonts w:ascii="標楷體" w:eastAsia="標楷體" w:hAnsi="標楷體" w:hint="eastAsia"/>
        </w:rPr>
        <w:t>象徵性與空間性：沙具象徵能將內在經驗轉化為具象可視的場景，進一步引導對話（Mitchell &amp; Friedman, 1994）。</w:t>
      </w:r>
    </w:p>
    <w:p w:rsidR="00504EE7" w:rsidRPr="00AD07D8" w:rsidRDefault="00663137" w:rsidP="00C262D1">
      <w:pPr>
        <w:jc w:val="both"/>
        <w:rPr>
          <w:rFonts w:ascii="標楷體" w:eastAsia="標楷體" w:hAnsi="標楷體"/>
        </w:rPr>
      </w:pPr>
      <w:r w:rsidRPr="00AD07D8">
        <w:rPr>
          <w:rFonts w:ascii="標楷體" w:eastAsia="標楷體" w:hAnsi="標楷體" w:hint="eastAsia"/>
        </w:rPr>
        <w:t>(二)</w:t>
      </w:r>
      <w:r w:rsidR="00504EE7" w:rsidRPr="00AD07D8">
        <w:rPr>
          <w:rFonts w:ascii="標楷體" w:eastAsia="標楷體" w:hAnsi="標楷體" w:hint="eastAsia"/>
        </w:rPr>
        <w:t>去中心化與多重視角：沙盤作品可同時承載多層意涵，使受督者能「看見自己的看見」，進而轉化既有僵化視框（Lahad, 2000）。</w:t>
      </w:r>
    </w:p>
    <w:p w:rsidR="00504EE7" w:rsidRPr="00AD07D8" w:rsidRDefault="00663137" w:rsidP="00C262D1">
      <w:pPr>
        <w:jc w:val="both"/>
        <w:rPr>
          <w:rFonts w:ascii="標楷體" w:eastAsia="標楷體" w:hAnsi="標楷體"/>
        </w:rPr>
      </w:pPr>
      <w:r w:rsidRPr="00AD07D8">
        <w:rPr>
          <w:rFonts w:ascii="標楷體" w:eastAsia="標楷體" w:hAnsi="標楷體" w:hint="eastAsia"/>
        </w:rPr>
        <w:t>(三)</w:t>
      </w:r>
      <w:r w:rsidR="00504EE7" w:rsidRPr="00AD07D8">
        <w:rPr>
          <w:rFonts w:ascii="標楷體" w:eastAsia="標楷體" w:hAnsi="標楷體" w:hint="eastAsia"/>
        </w:rPr>
        <w:t>非線性歷程與情緒進入：沙盤歷程不必遵循邏輯語言結構，更容易引導進入情緒與潛意識層面，協助處理模糊經驗或矛盾情感（Pearson &amp; Wilson, 2009）。</w:t>
      </w:r>
    </w:p>
    <w:p w:rsidR="00504EE7"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儘管沙盤督導的潛力已逐漸獲得關注，但目前相關研究大多集中於實習心理師或治療師訓練場域，針對學校</w:t>
      </w:r>
      <w:r w:rsidRPr="00AD07D8">
        <w:rPr>
          <w:rFonts w:ascii="標楷體" w:eastAsia="標楷體" w:hAnsi="標楷體" w:hint="eastAsia"/>
        </w:rPr>
        <w:t>場域中新手專任輔導教師之督導需求與沙盤實際應用的研究仍付之闕如，</w:t>
      </w:r>
      <w:r w:rsidR="00504EE7" w:rsidRPr="00AD07D8">
        <w:rPr>
          <w:rFonts w:ascii="標楷體" w:eastAsia="標楷體" w:hAnsi="標楷體" w:hint="eastAsia"/>
        </w:rPr>
        <w:t>尤其結合七眼督</w:t>
      </w:r>
      <w:r w:rsidRPr="00AD07D8">
        <w:rPr>
          <w:rFonts w:ascii="標楷體" w:eastAsia="標楷體" w:hAnsi="標楷體" w:hint="eastAsia"/>
        </w:rPr>
        <w:t>導模型來分析沙盤歷程中語言與象徵內容所對應之視角焦點者付之闕如。</w:t>
      </w:r>
      <w:r w:rsidR="00504EE7" w:rsidRPr="00AD07D8">
        <w:rPr>
          <w:rFonts w:ascii="標楷體" w:eastAsia="標楷體" w:hAnsi="標楷體" w:hint="eastAsia"/>
        </w:rPr>
        <w:t>本研究希望藉由對沙盤與非沙盤歷程中受督者語言的視角分類與比較，探索媒材介入是否開啟</w:t>
      </w:r>
      <w:r w:rsidRPr="00AD07D8">
        <w:rPr>
          <w:rFonts w:ascii="標楷體" w:eastAsia="標楷體" w:hAnsi="標楷體" w:hint="eastAsia"/>
        </w:rPr>
        <w:t>督導中</w:t>
      </w:r>
      <w:r w:rsidR="00504EE7" w:rsidRPr="00AD07D8">
        <w:rPr>
          <w:rFonts w:ascii="標楷體" w:eastAsia="標楷體" w:hAnsi="標楷體" w:hint="eastAsia"/>
        </w:rPr>
        <w:t>新手輔導教師更多元的專業理解與參與可能性，並促進其諮商思維與角色覺察。</w:t>
      </w:r>
    </w:p>
    <w:p w:rsidR="00663137"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504EE7" w:rsidRPr="00AD07D8">
        <w:rPr>
          <w:rFonts w:ascii="標楷體" w:eastAsia="標楷體" w:hAnsi="標楷體" w:hint="eastAsia"/>
        </w:rPr>
        <w:t>綜合上述文獻可知，新手專任輔導教師在初階職涯階段面臨多重角色壓力與專業認同建構的挑戰，亟需具備個別化與反思深度的臨床督導支持。而七眼督導模型提供一個系統性、關係性與視角多元的分析架構，適合觀察督導歷程中的多重互動與內在位置變化</w:t>
      </w:r>
      <w:r w:rsidR="00E82310">
        <w:rPr>
          <w:rFonts w:ascii="標楷體" w:eastAsia="標楷體" w:hAnsi="標楷體" w:hint="eastAsia"/>
        </w:rPr>
        <w:t>，</w:t>
      </w:r>
      <w:r w:rsidR="00504EE7" w:rsidRPr="00AD07D8">
        <w:rPr>
          <w:rFonts w:ascii="標楷體" w:eastAsia="標楷體" w:hAnsi="標楷體" w:hint="eastAsia"/>
        </w:rPr>
        <w:t>沙盤則作為一種具象媒材，在督導歷程中能促進象徵性轉化、自我覺察與創造性思考。</w:t>
      </w:r>
    </w:p>
    <w:p w:rsidR="00504EE7" w:rsidRDefault="00663137" w:rsidP="00C262D1">
      <w:pPr>
        <w:jc w:val="both"/>
        <w:rPr>
          <w:rFonts w:ascii="標楷體" w:eastAsia="標楷體" w:hAnsi="標楷體"/>
        </w:rPr>
      </w:pPr>
      <w:r w:rsidRPr="00AD07D8">
        <w:rPr>
          <w:rFonts w:ascii="標楷體" w:eastAsia="標楷體" w:hAnsi="標楷體" w:hint="eastAsia"/>
        </w:rPr>
        <w:t xml:space="preserve">    儘</w:t>
      </w:r>
      <w:r w:rsidR="00504EE7" w:rsidRPr="00AD07D8">
        <w:rPr>
          <w:rFonts w:ascii="標楷體" w:eastAsia="標楷體" w:hAnsi="標楷體" w:hint="eastAsia"/>
        </w:rPr>
        <w:t>管七眼模型與沙盤督導各自具備實務優勢，現有研究多聚焦於心理師訓練背景與語言性歷程之分析，針對新手專輔在不同督導型態中參與表現與專業發展焦點的質性比較研究仍屬缺乏。特別是以七眼架構作為語句分析框架、</w:t>
      </w:r>
      <w:r w:rsidR="00E82310">
        <w:rPr>
          <w:rFonts w:ascii="標楷體" w:eastAsia="標楷體" w:hAnsi="標楷體" w:hint="eastAsia"/>
        </w:rPr>
        <w:t>同時結合創造性媒材與非媒材歷程之視角對照，尚未發展。</w:t>
      </w:r>
      <w:r w:rsidR="00504EE7" w:rsidRPr="00AD07D8">
        <w:rPr>
          <w:rFonts w:ascii="標楷體" w:eastAsia="標楷體" w:hAnsi="標楷體" w:hint="eastAsia"/>
        </w:rPr>
        <w:t>因此，本研究嘗試結合上述理論基礎與實務觀察，運用七眼督導模型分析沙盤與非沙盤歷程中的</w:t>
      </w:r>
      <w:r w:rsidR="00F52FDF">
        <w:rPr>
          <w:rFonts w:ascii="標楷體" w:eastAsia="標楷體" w:hAnsi="標楷體" w:hint="eastAsia"/>
        </w:rPr>
        <w:t>督導及受督者語言，探索</w:t>
      </w:r>
      <w:r w:rsidR="00504EE7" w:rsidRPr="00AD07D8">
        <w:rPr>
          <w:rFonts w:ascii="標楷體" w:eastAsia="標楷體" w:hAnsi="標楷體" w:hint="eastAsia"/>
        </w:rPr>
        <w:t>專業參與焦點與督導受益層面之差異，期望為新手專輔</w:t>
      </w:r>
      <w:r w:rsidR="00F52FDF">
        <w:rPr>
          <w:rFonts w:ascii="標楷體" w:eastAsia="標楷體" w:hAnsi="標楷體" w:hint="eastAsia"/>
        </w:rPr>
        <w:t>之</w:t>
      </w:r>
      <w:r w:rsidR="00504EE7" w:rsidRPr="00AD07D8">
        <w:rPr>
          <w:rFonts w:ascii="標楷體" w:eastAsia="標楷體" w:hAnsi="標楷體" w:hint="eastAsia"/>
        </w:rPr>
        <w:t>督導設計提供理論與實證上的多元視野。</w:t>
      </w:r>
    </w:p>
    <w:p w:rsidR="003B02AA" w:rsidRPr="00AD07D8" w:rsidRDefault="003B02AA" w:rsidP="00C262D1">
      <w:pPr>
        <w:jc w:val="both"/>
        <w:rPr>
          <w:rFonts w:ascii="標楷體" w:eastAsia="標楷體" w:hAnsi="標楷體"/>
        </w:rPr>
      </w:pPr>
    </w:p>
    <w:p w:rsidR="00CD42E5" w:rsidRPr="003572ED" w:rsidRDefault="00663137" w:rsidP="00C262D1">
      <w:pPr>
        <w:jc w:val="both"/>
        <w:rPr>
          <w:rFonts w:ascii="標楷體" w:eastAsia="標楷體" w:hAnsi="標楷體"/>
          <w:b/>
        </w:rPr>
      </w:pPr>
      <w:r w:rsidRPr="003572ED">
        <w:rPr>
          <w:rFonts w:ascii="標楷體" w:eastAsia="標楷體" w:hAnsi="標楷體" w:hint="eastAsia"/>
          <w:b/>
        </w:rPr>
        <w:t>伍、</w:t>
      </w:r>
      <w:r w:rsidR="00CD42E5" w:rsidRPr="003572ED">
        <w:rPr>
          <w:rFonts w:ascii="標楷體" w:eastAsia="標楷體" w:hAnsi="標楷體" w:hint="eastAsia"/>
          <w:b/>
        </w:rPr>
        <w:t>研究方法</w:t>
      </w:r>
    </w:p>
    <w:p w:rsidR="00CD42E5" w:rsidRPr="00E4260B" w:rsidRDefault="00CD42E5" w:rsidP="00C262D1">
      <w:pPr>
        <w:jc w:val="both"/>
        <w:rPr>
          <w:rFonts w:ascii="標楷體" w:eastAsia="標楷體" w:hAnsi="標楷體"/>
          <w:b/>
        </w:rPr>
      </w:pPr>
      <w:r w:rsidRPr="00E4260B">
        <w:rPr>
          <w:rFonts w:ascii="標楷體" w:eastAsia="標楷體" w:hAnsi="標楷體" w:hint="eastAsia"/>
          <w:b/>
        </w:rPr>
        <w:t>一、研究設計</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本研究採質性個案分析法，並結合比較型設計（comparative case approach），旨在探索兩種不同督導歷程（沙盤與非沙盤）中，新手專任輔導教師在七眼督導模型視角下所呈現之專業參與焦點與督導受益。研究關注的並非技術成效驗證，而是歷程中語言表現所反映之認知、情緒與關係面向的差異。</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本研究設計依據 Stake（2006）與 Yin（2018）所提出之多重個案研究</w:t>
      </w:r>
      <w:r w:rsidR="00CD42E5" w:rsidRPr="00AD07D8">
        <w:rPr>
          <w:rFonts w:ascii="標楷體" w:eastAsia="標楷體" w:hAnsi="標楷體" w:hint="eastAsia"/>
        </w:rPr>
        <w:lastRenderedPageBreak/>
        <w:t>（multiple case study）邏輯，將沙盤與非沙盤歷程視為兩個可比較之質性情境個案，並進行視角類型與語言內容的交互分析。為強化概念指引與資料詮釋的結構性，研究以七眼督導模型（Hawkins &amp; Shohet, 2012）作為分析架構，分類語句所對應之視角類型，並依主分類進行分布統計與歷程敘說分析。</w:t>
      </w:r>
    </w:p>
    <w:p w:rsidR="00504EE7"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有別於傳統以七眼模型訓練督導者或回顧督導者歷程之應用方式，本研究將七眼視角轉化為逐字稿語句之分類依據，應用於受督者語言的質性內容分析，藉以探索不同督導型態中受督焦點與專業思維之差異。此舉亦回應 Trevethan et al.（2017）與 Thompson &amp; Pascal（2012</w:t>
      </w:r>
      <w:r w:rsidR="00D4466B">
        <w:rPr>
          <w:rFonts w:ascii="標楷體" w:eastAsia="標楷體" w:hAnsi="標楷體" w:hint="eastAsia"/>
        </w:rPr>
        <w:t>）所倡導</w:t>
      </w:r>
      <w:r w:rsidR="00CD42E5" w:rsidRPr="00AD07D8">
        <w:rPr>
          <w:rFonts w:ascii="標楷體" w:eastAsia="標楷體" w:hAnsi="標楷體" w:hint="eastAsia"/>
        </w:rPr>
        <w:t>的方向，即將七眼架構作為受督者反思與表達歷程的理解工具。</w:t>
      </w:r>
    </w:p>
    <w:p w:rsidR="00CD42E5" w:rsidRPr="00E4260B" w:rsidRDefault="00CD42E5" w:rsidP="00C262D1">
      <w:pPr>
        <w:jc w:val="both"/>
        <w:rPr>
          <w:rFonts w:ascii="標楷體" w:eastAsia="標楷體" w:hAnsi="標楷體"/>
          <w:b/>
        </w:rPr>
      </w:pPr>
      <w:r w:rsidRPr="00E4260B">
        <w:rPr>
          <w:rFonts w:ascii="標楷體" w:eastAsia="標楷體" w:hAnsi="標楷體" w:hint="eastAsia"/>
          <w:b/>
        </w:rPr>
        <w:t>二、研究對象</w:t>
      </w:r>
      <w:r w:rsidR="00B533E7" w:rsidRPr="00E4260B">
        <w:rPr>
          <w:rFonts w:ascii="標楷體" w:eastAsia="標楷體" w:hAnsi="標楷體" w:hint="eastAsia"/>
          <w:b/>
        </w:rPr>
        <w:t>與情境</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本研究對象為兩位受督者，分別為一位新手專任輔導教師（教學年資三年以內）與一位實習輔導教師，兩人皆參與同一名督導者所進行之個別督導歷程。研究者同時擔任實際督導者，具備學校輔導</w:t>
      </w:r>
      <w:r w:rsidR="003572ED">
        <w:rPr>
          <w:rFonts w:ascii="標楷體" w:eastAsia="標楷體" w:hAnsi="標楷體" w:hint="eastAsia"/>
        </w:rPr>
        <w:t>工作</w:t>
      </w:r>
      <w:r w:rsidR="00CD42E5" w:rsidRPr="00AD07D8">
        <w:rPr>
          <w:rFonts w:ascii="標楷體" w:eastAsia="標楷體" w:hAnsi="標楷體" w:hint="eastAsia"/>
        </w:rPr>
        <w:t>現場十年以上實務經驗，並</w:t>
      </w:r>
      <w:r w:rsidR="00A602CC">
        <w:rPr>
          <w:rFonts w:ascii="標楷體" w:eastAsia="標楷體" w:hAnsi="標楷體" w:hint="eastAsia"/>
        </w:rPr>
        <w:t>正</w:t>
      </w:r>
      <w:r w:rsidR="00CD42E5" w:rsidRPr="00AD07D8">
        <w:rPr>
          <w:rFonts w:ascii="標楷體" w:eastAsia="標楷體" w:hAnsi="標楷體" w:hint="eastAsia"/>
        </w:rPr>
        <w:t>接受博士班層級之督導理論與實務訓練。</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每位受督者皆接受共七次個別督導，每次時長約 60–</w:t>
      </w:r>
      <w:r w:rsidR="0040608B">
        <w:rPr>
          <w:rFonts w:ascii="標楷體" w:eastAsia="標楷體" w:hAnsi="標楷體" w:hint="eastAsia"/>
        </w:rPr>
        <w:t>7</w:t>
      </w:r>
      <w:r w:rsidR="00CD42E5" w:rsidRPr="00AD07D8">
        <w:rPr>
          <w:rFonts w:ascii="標楷體" w:eastAsia="標楷體" w:hAnsi="標楷體" w:hint="eastAsia"/>
        </w:rPr>
        <w:t>0 分鐘。其中包含 2 至 3 次以沙盤為主要媒材之督導歷程（以下簡稱沙盤歷程），以及 4 至 5 次以語言對談為主之督導歷程（以下簡稱非沙盤歷程）。沙盤歷程主要結合沙具操作、主題象徵呈現與敘說對話</w:t>
      </w:r>
      <w:r w:rsidR="00EF7AD6">
        <w:rPr>
          <w:rFonts w:ascii="標楷體" w:eastAsia="標楷體" w:hAnsi="標楷體" w:hint="eastAsia"/>
        </w:rPr>
        <w:t>；</w:t>
      </w:r>
      <w:r w:rsidR="00CD42E5" w:rsidRPr="00AD07D8">
        <w:rPr>
          <w:rFonts w:ascii="標楷體" w:eastAsia="標楷體" w:hAnsi="標楷體" w:hint="eastAsia"/>
        </w:rPr>
        <w:t>非沙盤歷程則以自由敘說、角色扮演與諮商討論為主。</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本研究聚焦於兩位受督者參與之部分督導歷程，從中各擇取一段沙盤歷程與一段非沙盤歷程進行分析，逐字轉錄後以</w:t>
      </w:r>
      <w:r w:rsidR="0085373D">
        <w:rPr>
          <w:rFonts w:ascii="標楷體" w:eastAsia="標楷體" w:hAnsi="標楷體" w:hint="eastAsia"/>
        </w:rPr>
        <w:t>七眼督導視角進行語句分類與視角焦點辨識，藉此比較不同督導形式中督導及受</w:t>
      </w:r>
      <w:r w:rsidR="00CD42E5" w:rsidRPr="00AD07D8">
        <w:rPr>
          <w:rFonts w:ascii="標楷體" w:eastAsia="標楷體" w:hAnsi="標楷體" w:hint="eastAsia"/>
        </w:rPr>
        <w:t>者語言內容之差異與參與重點。研究過程已取得受督者知情同意，並完成錄音與資料匿名化處理。</w:t>
      </w:r>
    </w:p>
    <w:p w:rsidR="00CD42E5" w:rsidRPr="00E4260B" w:rsidRDefault="00CD42E5" w:rsidP="00C262D1">
      <w:pPr>
        <w:jc w:val="both"/>
        <w:rPr>
          <w:rFonts w:ascii="標楷體" w:eastAsia="標楷體" w:hAnsi="標楷體"/>
          <w:b/>
        </w:rPr>
      </w:pPr>
      <w:r w:rsidRPr="00E4260B">
        <w:rPr>
          <w:rFonts w:ascii="標楷體" w:eastAsia="標楷體" w:hAnsi="標楷體" w:hint="eastAsia"/>
          <w:b/>
        </w:rPr>
        <w:t>三、資料來源與蒐集方式</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本研究之主要資料來源為兩位受督者參與之個別督導歷程錄音逐字稿，分別擇取一段以沙盤進行之督導會談與一段未使用沙盤（純口語對談）之督導歷程進行分析。沙盤歷程中包含受督者操作沙</w:t>
      </w:r>
      <w:r w:rsidR="00EF7AD6">
        <w:rPr>
          <w:rFonts w:ascii="標楷體" w:eastAsia="標楷體" w:hAnsi="標楷體" w:hint="eastAsia"/>
        </w:rPr>
        <w:t>具、敘說象徵圖像並與督導者進行對話的完整過程；非沙盤歷程則為語言性督導過程，聚焦於個案處理討論、介入策略</w:t>
      </w:r>
      <w:r w:rsidR="00CD42E5" w:rsidRPr="00AD07D8">
        <w:rPr>
          <w:rFonts w:ascii="標楷體" w:eastAsia="標楷體" w:hAnsi="標楷體" w:hint="eastAsia"/>
        </w:rPr>
        <w:t>與受督者情緒回應。</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所有督導會談皆經當事人同意後進行錄音，並由研究者親自進行逐字轉錄。逐字稿內容完整保留語言互動，包含停頓、語助詞、情緒語氣提示等，以利進行細緻的語句層次分析。原始逐字資料約共</w:t>
      </w:r>
      <w:r w:rsidR="00EF7AD6">
        <w:rPr>
          <w:rFonts w:ascii="標楷體" w:eastAsia="標楷體" w:hAnsi="標楷體"/>
        </w:rPr>
        <w:t>240</w:t>
      </w:r>
      <w:r w:rsidR="00EF7AD6">
        <w:rPr>
          <w:rFonts w:ascii="標楷體" w:eastAsia="標楷體" w:hAnsi="標楷體" w:hint="eastAsia"/>
        </w:rPr>
        <w:t>分鐘</w:t>
      </w:r>
      <w:r w:rsidR="00CD42E5" w:rsidRPr="00AD07D8">
        <w:rPr>
          <w:rFonts w:ascii="標楷體" w:eastAsia="標楷體" w:hAnsi="標楷體" w:hint="eastAsia"/>
        </w:rPr>
        <w:t>，已完成標註化與匿名處理，去除可辨識個人與學校單位之資訊。</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此外，研究者亦保留部分沙盤歷程中之沙具作品影像與簡要場景描述，作為理解語句背景與象徵意涵之補充參照資料。為掌握歷程中重要決策與互動背景，研究者同步保留督導歷程備忘錄與反思筆記，作為詮釋語句脈絡之交叉佐證依據。</w:t>
      </w:r>
    </w:p>
    <w:p w:rsidR="00CD42E5" w:rsidRPr="00E4260B" w:rsidRDefault="00CD42E5" w:rsidP="00C262D1">
      <w:pPr>
        <w:jc w:val="both"/>
        <w:rPr>
          <w:rFonts w:ascii="標楷體" w:eastAsia="標楷體" w:hAnsi="標楷體"/>
          <w:b/>
        </w:rPr>
      </w:pPr>
      <w:r w:rsidRPr="00E4260B">
        <w:rPr>
          <w:rFonts w:ascii="標楷體" w:eastAsia="標楷體" w:hAnsi="標楷體" w:hint="eastAsia"/>
          <w:b/>
        </w:rPr>
        <w:t>四、分析架構與程序</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 xml:space="preserve">本研究以七眼督導模型（Seven-Eyed Model of Supervision；Hawkins &amp; </w:t>
      </w:r>
      <w:r w:rsidR="00CD42E5" w:rsidRPr="00AD07D8">
        <w:rPr>
          <w:rFonts w:ascii="標楷體" w:eastAsia="標楷體" w:hAnsi="標楷體" w:hint="eastAsia"/>
        </w:rPr>
        <w:lastRenderedPageBreak/>
        <w:t>Shohet, 2012）作為語句分析架構，採內容分析法針對逐字稿進行質性分類與比較。分析單位為逐字稿中的「語句」，亦即具備獨立語義的發言段落，不限句點劃分，而以語境意涵為界定基準。</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每一語句依據其內容焦點，進行七眼類型的分類。七個視角分別為：Eye 1（案主本身）、Eye 2（介入策略）、Eye 3（案主與受督者關係）、Eye 4（受督者本身）、Eye 5（受督者與督導者關係）、Eye 6（督導者本身）、Eye 7（系統與脈絡）。為更貼近歷程複雜性，除標記主要分類（主分類）外，亦可標示一個次分類（如適用）。若語句同時涉及多個視角，則主分類以語句核心關注點為準，次分類為次要關聯語意。</w:t>
      </w:r>
      <w:r w:rsidR="00EF7AD6">
        <w:rPr>
          <w:rFonts w:ascii="標楷體" w:eastAsia="標楷體" w:hAnsi="標楷體" w:hint="eastAsia"/>
        </w:rPr>
        <w:t>然分類上須避免同一語句因多重分類而加重該語句之比重，故仍以主分類為計算類型之標準，次分類則予以忽略不計。(可計入研究限制)</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研究者首先通讀全文並初步理解語境，進行第一次標註。為提升分析一致性，研究者於不同階段重新審閱並校訂初步分類，針對不明確語句進行對照、整併與註解。最終完成語句標註後，統計各七眼視角出現頻次與比例</w:t>
      </w:r>
      <w:r w:rsidR="004C17CA">
        <w:rPr>
          <w:rFonts w:ascii="標楷體" w:eastAsia="標楷體" w:hAnsi="標楷體" w:hint="eastAsia"/>
        </w:rPr>
        <w:t>。</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除了量化視角分布之外，研究亦針對各七眼類型中的代表語句進行主題式整理與意義詮釋，以捕捉歷程中思維與情感的層次差異。並輔以沙盤圖像簡述與研究者備忘錄交叉對照，強化脈絡理解。</w:t>
      </w:r>
    </w:p>
    <w:p w:rsidR="00CD42E5" w:rsidRPr="00E4260B" w:rsidRDefault="00CD42E5" w:rsidP="00C262D1">
      <w:pPr>
        <w:jc w:val="both"/>
        <w:rPr>
          <w:rFonts w:ascii="標楷體" w:eastAsia="標楷體" w:hAnsi="標楷體"/>
          <w:b/>
        </w:rPr>
      </w:pPr>
      <w:r w:rsidRPr="00E4260B">
        <w:rPr>
          <w:rFonts w:ascii="標楷體" w:eastAsia="標楷體" w:hAnsi="標楷體" w:hint="eastAsia"/>
          <w:b/>
        </w:rPr>
        <w:t>五、信效度與倫理考量</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本研究屬質性小樣本分析，為確保研究結果具備誠信性與詮釋一致性，研究者於分析過程中採取多項信效度提升策略。首先，資料標註過程由研究者進行至少兩輪編碼審閱，並逐句比對與修訂，確保主分類與次分類的判準一致。對於歧義語句，研究者以備註方式記錄判準依據與語境參照，提升可追溯性。</w:t>
      </w:r>
    </w:p>
    <w:p w:rsidR="00CD42E5" w:rsidRPr="00AD07D8"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此外，研究者亦定期回顧督導備忘錄與沙盤影像內容，進行跨資料來源的脈絡對照與三角檢核（triangulation），避免單一語言片段造成的誤讀與過度詮釋。研究過程同步維持研究者反思日誌（researcher memo），紀錄分析歷程中的觀察、情緒反應與潛在偏誤，作為自我監控與詮釋透明化之依據。</w:t>
      </w:r>
    </w:p>
    <w:p w:rsidR="0083142E" w:rsidRDefault="00663137" w:rsidP="00C262D1">
      <w:pPr>
        <w:jc w:val="both"/>
        <w:rPr>
          <w:rFonts w:ascii="標楷體" w:eastAsia="標楷體" w:hAnsi="標楷體"/>
        </w:rPr>
      </w:pPr>
      <w:r w:rsidRPr="00AD07D8">
        <w:rPr>
          <w:rFonts w:ascii="標楷體" w:eastAsia="標楷體" w:hAnsi="標楷體" w:hint="eastAsia"/>
        </w:rPr>
        <w:t xml:space="preserve">    </w:t>
      </w:r>
      <w:r w:rsidR="00CD42E5" w:rsidRPr="00AD07D8">
        <w:rPr>
          <w:rFonts w:ascii="標楷體" w:eastAsia="標楷體" w:hAnsi="標楷體" w:hint="eastAsia"/>
        </w:rPr>
        <w:t>在倫理方面，研究進行前已取得兩位受督者之知情同意，包括錄音、逐字稿轉錄與匿名分析之說明。資料轉錄與報告撰寫時皆去除可識別資訊，改</w:t>
      </w:r>
      <w:r w:rsidR="00406B0F">
        <w:rPr>
          <w:rFonts w:ascii="標楷體" w:eastAsia="標楷體" w:hAnsi="標楷體" w:hint="eastAsia"/>
        </w:rPr>
        <w:t>以代碼編號標示。所有資料僅供研究分析使用，並遵守</w:t>
      </w:r>
      <w:r w:rsidR="00CD42E5" w:rsidRPr="00AD07D8">
        <w:rPr>
          <w:rFonts w:ascii="標楷體" w:eastAsia="標楷體" w:hAnsi="標楷體" w:hint="eastAsia"/>
        </w:rPr>
        <w:t>研究倫理規範與個資保護原則。</w:t>
      </w:r>
    </w:p>
    <w:p w:rsidR="003B02AA" w:rsidRPr="00AD07D8" w:rsidRDefault="003B02AA" w:rsidP="00C262D1">
      <w:pPr>
        <w:jc w:val="both"/>
        <w:rPr>
          <w:rFonts w:ascii="標楷體" w:eastAsia="標楷體" w:hAnsi="標楷體"/>
        </w:rPr>
      </w:pPr>
    </w:p>
    <w:p w:rsidR="0083142E" w:rsidRPr="00E4260B" w:rsidRDefault="003B02AA" w:rsidP="00C262D1">
      <w:pPr>
        <w:jc w:val="both"/>
        <w:rPr>
          <w:rFonts w:ascii="標楷體" w:eastAsia="標楷體" w:hAnsi="標楷體"/>
          <w:b/>
        </w:rPr>
      </w:pPr>
      <w:r w:rsidRPr="00E4260B">
        <w:rPr>
          <w:rFonts w:ascii="標楷體" w:eastAsia="標楷體" w:hAnsi="標楷體" w:hint="eastAsia"/>
          <w:b/>
        </w:rPr>
        <w:t>陸</w:t>
      </w:r>
      <w:r w:rsidR="008F019F">
        <w:rPr>
          <w:rFonts w:ascii="標楷體" w:eastAsia="標楷體" w:hAnsi="標楷體" w:hint="eastAsia"/>
          <w:b/>
        </w:rPr>
        <w:t>、運用七眼督導分析督導歷程對話初步結果</w:t>
      </w:r>
    </w:p>
    <w:p w:rsidR="008F019F" w:rsidRPr="008F019F" w:rsidRDefault="008F019F" w:rsidP="00C262D1">
      <w:pPr>
        <w:jc w:val="both"/>
        <w:rPr>
          <w:rFonts w:ascii="標楷體" w:eastAsia="標楷體" w:hAnsi="標楷體"/>
          <w:b/>
        </w:rPr>
      </w:pPr>
      <w:r w:rsidRPr="008F019F">
        <w:rPr>
          <w:rFonts w:ascii="標楷體" w:eastAsia="標楷體" w:hAnsi="標楷體" w:hint="eastAsia"/>
          <w:b/>
        </w:rPr>
        <w:t>一、七種模式的對偶分類舉例及比例</w:t>
      </w:r>
    </w:p>
    <w:p w:rsidR="00C82B31" w:rsidRDefault="008F019F" w:rsidP="00C262D1">
      <w:pPr>
        <w:jc w:val="both"/>
        <w:rPr>
          <w:rFonts w:ascii="標楷體" w:eastAsia="標楷體" w:hAnsi="標楷體"/>
        </w:rPr>
      </w:pPr>
      <w:r>
        <w:rPr>
          <w:rFonts w:ascii="標楷體" w:eastAsia="標楷體" w:hAnsi="標楷體" w:hint="eastAsia"/>
        </w:rPr>
        <w:t xml:space="preserve">    </w:t>
      </w:r>
      <w:r w:rsidR="000A62A9">
        <w:rPr>
          <w:rFonts w:ascii="標楷體" w:eastAsia="標楷體" w:hAnsi="標楷體" w:hint="eastAsia"/>
        </w:rPr>
        <w:t>將督導歷程對話以七眼督導模式加以分析</w:t>
      </w:r>
      <w:r w:rsidR="00C6002D">
        <w:rPr>
          <w:rFonts w:ascii="標楷體" w:eastAsia="標楷體" w:hAnsi="標楷體" w:hint="eastAsia"/>
        </w:rPr>
        <w:t>後，歸納到七種模式，再統計每種模式的出現次數及百分比例。下表為分析示例。</w:t>
      </w:r>
    </w:p>
    <w:p w:rsidR="00E4260B" w:rsidRDefault="00E4260B" w:rsidP="00C262D1">
      <w:pPr>
        <w:jc w:val="both"/>
        <w:rPr>
          <w:rFonts w:ascii="標楷體" w:eastAsia="標楷體" w:hAnsi="標楷體"/>
        </w:rPr>
      </w:pPr>
    </w:p>
    <w:tbl>
      <w:tblPr>
        <w:tblStyle w:val="a8"/>
        <w:tblW w:w="8784" w:type="dxa"/>
        <w:tblLook w:val="04A0" w:firstRow="1" w:lastRow="0" w:firstColumn="1" w:lastColumn="0" w:noHBand="0" w:noVBand="1"/>
      </w:tblPr>
      <w:tblGrid>
        <w:gridCol w:w="846"/>
        <w:gridCol w:w="6662"/>
        <w:gridCol w:w="1276"/>
      </w:tblGrid>
      <w:tr w:rsidR="000C1FCB" w:rsidTr="005E0492">
        <w:tc>
          <w:tcPr>
            <w:tcW w:w="846" w:type="dxa"/>
            <w:vAlign w:val="center"/>
          </w:tcPr>
          <w:p w:rsidR="000C1FCB" w:rsidRDefault="00366ED1" w:rsidP="00C262D1">
            <w:pPr>
              <w:jc w:val="both"/>
              <w:rPr>
                <w:rFonts w:ascii="標楷體" w:eastAsia="標楷體" w:hAnsi="標楷體"/>
              </w:rPr>
            </w:pPr>
            <w:r>
              <w:rPr>
                <w:rFonts w:ascii="標楷體" w:eastAsia="標楷體" w:hAnsi="標楷體" w:hint="eastAsia"/>
              </w:rPr>
              <w:t>七</w:t>
            </w:r>
            <w:r w:rsidR="000C1FCB">
              <w:rPr>
                <w:rFonts w:ascii="標楷體" w:eastAsia="標楷體" w:hAnsi="標楷體" w:hint="eastAsia"/>
              </w:rPr>
              <w:t>眼督</w:t>
            </w:r>
            <w:r>
              <w:rPr>
                <w:rFonts w:ascii="標楷體" w:eastAsia="標楷體" w:hAnsi="標楷體" w:hint="eastAsia"/>
              </w:rPr>
              <w:t xml:space="preserve"> </w:t>
            </w:r>
            <w:r w:rsidR="000C1FCB">
              <w:rPr>
                <w:rFonts w:ascii="標楷體" w:eastAsia="標楷體" w:hAnsi="標楷體" w:hint="eastAsia"/>
              </w:rPr>
              <w:t>導</w:t>
            </w:r>
          </w:p>
        </w:tc>
        <w:tc>
          <w:tcPr>
            <w:tcW w:w="6662" w:type="dxa"/>
            <w:vAlign w:val="center"/>
          </w:tcPr>
          <w:p w:rsidR="000C1FCB" w:rsidRDefault="000C1FCB" w:rsidP="00366ED1">
            <w:pPr>
              <w:jc w:val="center"/>
              <w:rPr>
                <w:rFonts w:ascii="標楷體" w:eastAsia="標楷體" w:hAnsi="標楷體"/>
              </w:rPr>
            </w:pPr>
            <w:r>
              <w:rPr>
                <w:rFonts w:ascii="標楷體" w:eastAsia="標楷體" w:hAnsi="標楷體" w:hint="eastAsia"/>
              </w:rPr>
              <w:t>督導歷程對話(</w:t>
            </w:r>
            <w:r w:rsidR="00366ED1">
              <w:rPr>
                <w:rFonts w:ascii="標楷體" w:eastAsia="標楷體" w:hAnsi="標楷體" w:hint="eastAsia"/>
              </w:rPr>
              <w:t>對偶</w:t>
            </w:r>
            <w:r>
              <w:rPr>
                <w:rFonts w:ascii="標楷體" w:eastAsia="標楷體" w:hAnsi="標楷體" w:hint="eastAsia"/>
              </w:rPr>
              <w:t>)</w:t>
            </w:r>
          </w:p>
        </w:tc>
        <w:tc>
          <w:tcPr>
            <w:tcW w:w="1276" w:type="dxa"/>
            <w:vAlign w:val="center"/>
          </w:tcPr>
          <w:p w:rsidR="000C1FCB" w:rsidRDefault="00366ED1" w:rsidP="000C1FCB">
            <w:pPr>
              <w:jc w:val="both"/>
              <w:rPr>
                <w:rFonts w:ascii="標楷體" w:eastAsia="標楷體" w:hAnsi="標楷體"/>
              </w:rPr>
            </w:pPr>
            <w:r>
              <w:rPr>
                <w:rFonts w:ascii="標楷體" w:eastAsia="標楷體" w:hAnsi="標楷體" w:hint="eastAsia"/>
              </w:rPr>
              <w:t>節錄來源</w:t>
            </w:r>
          </w:p>
        </w:tc>
      </w:tr>
      <w:tr w:rsidR="000C1FCB" w:rsidTr="00E46291">
        <w:trPr>
          <w:trHeight w:val="390"/>
        </w:trPr>
        <w:tc>
          <w:tcPr>
            <w:tcW w:w="846" w:type="dxa"/>
            <w:vMerge w:val="restart"/>
          </w:tcPr>
          <w:p w:rsidR="000C1FCB" w:rsidRPr="0084060D" w:rsidRDefault="000C1FCB" w:rsidP="000C1FCB">
            <w:r w:rsidRPr="0084060D">
              <w:t>Eye 1</w:t>
            </w:r>
          </w:p>
        </w:tc>
        <w:tc>
          <w:tcPr>
            <w:tcW w:w="6662" w:type="dxa"/>
          </w:tcPr>
          <w:p w:rsidR="000C1FCB" w:rsidRDefault="000C1FCB" w:rsidP="00FA361F">
            <w:pPr>
              <w:jc w:val="both"/>
              <w:rPr>
                <w:rFonts w:ascii="標楷體" w:eastAsia="標楷體" w:hAnsi="標楷體"/>
              </w:rPr>
            </w:pPr>
            <w:r>
              <w:rPr>
                <w:rFonts w:ascii="標楷體" w:eastAsia="標楷體" w:hAnsi="標楷體" w:hint="eastAsia"/>
              </w:rPr>
              <w:t>督導</w:t>
            </w:r>
            <w:r w:rsidR="00E46291">
              <w:rPr>
                <w:rFonts w:ascii="標楷體" w:eastAsia="標楷體" w:hAnsi="標楷體" w:hint="eastAsia"/>
              </w:rPr>
              <w:t>者</w:t>
            </w:r>
            <w:r>
              <w:rPr>
                <w:rFonts w:ascii="標楷體" w:eastAsia="標楷體" w:hAnsi="標楷體" w:hint="eastAsia"/>
              </w:rPr>
              <w:t>：</w:t>
            </w:r>
            <w:r w:rsidR="00FA361F">
              <w:rPr>
                <w:rFonts w:ascii="標楷體" w:eastAsia="標楷體" w:hAnsi="標楷體" w:hint="eastAsia"/>
              </w:rPr>
              <w:t>他覺得這不是家暴，他</w:t>
            </w:r>
            <w:r w:rsidR="00AF4D7E">
              <w:rPr>
                <w:rFonts w:ascii="標楷體" w:eastAsia="標楷體" w:hAnsi="標楷體" w:hint="eastAsia"/>
              </w:rPr>
              <w:t>是怕</w:t>
            </w:r>
            <w:r w:rsidR="00FA361F" w:rsidRPr="00FA361F">
              <w:rPr>
                <w:rFonts w:ascii="標楷體" w:eastAsia="標楷體" w:hAnsi="標楷體" w:hint="eastAsia"/>
              </w:rPr>
              <w:t>爸媽</w:t>
            </w:r>
            <w:r w:rsidR="00FA361F">
              <w:rPr>
                <w:rFonts w:ascii="標楷體" w:eastAsia="標楷體" w:hAnsi="標楷體" w:hint="eastAsia"/>
              </w:rPr>
              <w:t>被</w:t>
            </w:r>
            <w:r w:rsidR="00FA361F" w:rsidRPr="00FA361F">
              <w:rPr>
                <w:rFonts w:ascii="標楷體" w:eastAsia="標楷體" w:hAnsi="標楷體" w:hint="eastAsia"/>
              </w:rPr>
              <w:t>處罰嗎？或者是他真的被帶走</w:t>
            </w:r>
            <w:r w:rsidR="00AF4D7E">
              <w:rPr>
                <w:rFonts w:ascii="標楷體" w:eastAsia="標楷體" w:hAnsi="標楷體" w:hint="eastAsia"/>
              </w:rPr>
              <w:t>(安置)</w:t>
            </w:r>
            <w:r w:rsidR="00FA361F" w:rsidRPr="00FA361F">
              <w:rPr>
                <w:rFonts w:ascii="標楷體" w:eastAsia="標楷體" w:hAnsi="標楷體" w:hint="eastAsia"/>
              </w:rPr>
              <w:t>，他有</w:t>
            </w:r>
            <w:r w:rsidR="00FA361F">
              <w:rPr>
                <w:rFonts w:ascii="標楷體" w:eastAsia="標楷體" w:hAnsi="標楷體" w:hint="eastAsia"/>
              </w:rPr>
              <w:t>一個隱約</w:t>
            </w:r>
            <w:r w:rsidR="00FA361F" w:rsidRPr="00FA361F">
              <w:rPr>
                <w:rFonts w:ascii="標楷體" w:eastAsia="標楷體" w:hAnsi="標楷體" w:hint="eastAsia"/>
              </w:rPr>
              <w:t>想要合理化這件事的原因</w:t>
            </w:r>
            <w:r w:rsidR="00FA361F">
              <w:rPr>
                <w:rFonts w:ascii="標楷體" w:eastAsia="標楷體" w:hAnsi="標楷體" w:hint="eastAsia"/>
              </w:rPr>
              <w:t>。</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督生B</w:t>
            </w:r>
          </w:p>
          <w:p w:rsidR="000C1FCB" w:rsidRDefault="006D40FA" w:rsidP="000C1FCB">
            <w:pPr>
              <w:jc w:val="both"/>
              <w:rPr>
                <w:rFonts w:ascii="標楷體" w:eastAsia="標楷體" w:hAnsi="標楷體"/>
              </w:rPr>
            </w:pPr>
            <w:r>
              <w:rPr>
                <w:rFonts w:ascii="標楷體" w:eastAsia="標楷體" w:hAnsi="標楷體"/>
              </w:rPr>
              <w:t>非沙盤督</w:t>
            </w:r>
          </w:p>
        </w:tc>
      </w:tr>
      <w:tr w:rsidR="000C1FCB" w:rsidTr="00E46291">
        <w:trPr>
          <w:trHeight w:val="338"/>
        </w:trPr>
        <w:tc>
          <w:tcPr>
            <w:tcW w:w="846" w:type="dxa"/>
            <w:vMerge/>
          </w:tcPr>
          <w:p w:rsidR="000C1FCB" w:rsidRPr="0084060D" w:rsidRDefault="000C1FCB" w:rsidP="000C1FCB"/>
        </w:tc>
        <w:tc>
          <w:tcPr>
            <w:tcW w:w="6662" w:type="dxa"/>
          </w:tcPr>
          <w:p w:rsidR="000C1FCB" w:rsidRDefault="000C1FCB" w:rsidP="00FA361F">
            <w:pPr>
              <w:jc w:val="both"/>
              <w:rPr>
                <w:rFonts w:ascii="標楷體" w:eastAsia="標楷體" w:hAnsi="標楷體"/>
              </w:rPr>
            </w:pPr>
            <w:r>
              <w:rPr>
                <w:rFonts w:ascii="標楷體" w:eastAsia="標楷體" w:hAnsi="標楷體" w:hint="eastAsia"/>
              </w:rPr>
              <w:t>受督者：</w:t>
            </w:r>
            <w:r w:rsidR="00FA361F" w:rsidRPr="00FA361F">
              <w:rPr>
                <w:rFonts w:ascii="標楷體" w:eastAsia="標楷體" w:hAnsi="標楷體" w:hint="eastAsia"/>
              </w:rPr>
              <w:t>我當時沒有討論到他是不是擔心爸爸被帶走這件事情，</w:t>
            </w:r>
            <w:r w:rsidR="00FA361F">
              <w:rPr>
                <w:rFonts w:ascii="標楷體" w:eastAsia="標楷體" w:hAnsi="標楷體" w:hint="eastAsia"/>
              </w:rPr>
              <w:t>或是他自己</w:t>
            </w:r>
            <w:r w:rsidR="00FA361F" w:rsidRPr="00FA361F">
              <w:rPr>
                <w:rFonts w:ascii="標楷體" w:eastAsia="標楷體" w:hAnsi="標楷體" w:hint="eastAsia"/>
              </w:rPr>
              <w:t>有可</w:t>
            </w:r>
            <w:r w:rsidR="00FA361F">
              <w:rPr>
                <w:rFonts w:ascii="標楷體" w:eastAsia="標楷體" w:hAnsi="標楷體" w:hint="eastAsia"/>
              </w:rPr>
              <w:t>能被安置。</w:t>
            </w:r>
          </w:p>
        </w:tc>
        <w:tc>
          <w:tcPr>
            <w:tcW w:w="1276" w:type="dxa"/>
            <w:vMerge/>
          </w:tcPr>
          <w:p w:rsidR="000C1FCB" w:rsidRDefault="000C1FCB" w:rsidP="000C1FCB">
            <w:pPr>
              <w:jc w:val="both"/>
              <w:rPr>
                <w:rFonts w:ascii="標楷體" w:eastAsia="標楷體" w:hAnsi="標楷體"/>
              </w:rPr>
            </w:pPr>
          </w:p>
        </w:tc>
      </w:tr>
      <w:tr w:rsidR="000C1FCB" w:rsidTr="00E46291">
        <w:trPr>
          <w:trHeight w:val="187"/>
        </w:trPr>
        <w:tc>
          <w:tcPr>
            <w:tcW w:w="846" w:type="dxa"/>
            <w:vMerge w:val="restart"/>
          </w:tcPr>
          <w:p w:rsidR="000C1FCB" w:rsidRPr="0084060D" w:rsidRDefault="000C1FCB" w:rsidP="000C1FCB">
            <w:r w:rsidRPr="0084060D">
              <w:lastRenderedPageBreak/>
              <w:t>Eye 2</w:t>
            </w:r>
          </w:p>
        </w:tc>
        <w:tc>
          <w:tcPr>
            <w:tcW w:w="6662" w:type="dxa"/>
          </w:tcPr>
          <w:p w:rsidR="000C1FCB" w:rsidRDefault="00463F6E" w:rsidP="000C1FCB">
            <w:pPr>
              <w:jc w:val="both"/>
              <w:rPr>
                <w:rFonts w:ascii="標楷體" w:eastAsia="標楷體" w:hAnsi="標楷體"/>
              </w:rPr>
            </w:pPr>
            <w:r>
              <w:rPr>
                <w:rFonts w:ascii="標楷體" w:eastAsia="標楷體" w:hAnsi="標楷體" w:hint="eastAsia"/>
              </w:rPr>
              <w:t>督導</w:t>
            </w:r>
            <w:r w:rsidR="00E46291">
              <w:rPr>
                <w:rFonts w:ascii="標楷體" w:eastAsia="標楷體" w:hAnsi="標楷體" w:hint="eastAsia"/>
              </w:rPr>
              <w:t>者</w:t>
            </w:r>
            <w:r>
              <w:rPr>
                <w:rFonts w:ascii="標楷體" w:eastAsia="標楷體" w:hAnsi="標楷體" w:hint="eastAsia"/>
              </w:rPr>
              <w:t>：</w:t>
            </w:r>
            <w:r w:rsidR="000C1FCB" w:rsidRPr="000C1FCB">
              <w:rPr>
                <w:rFonts w:ascii="標楷體" w:eastAsia="標楷體" w:hAnsi="標楷體" w:hint="eastAsia"/>
              </w:rPr>
              <w:t>你們在講述的時候，你會去澄清他的意思，所以當時你比較常用的技巧是澄清嗎？</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督生A</w:t>
            </w:r>
          </w:p>
          <w:p w:rsidR="000C1FCB" w:rsidRDefault="006D40FA" w:rsidP="000C1FCB">
            <w:pPr>
              <w:jc w:val="both"/>
              <w:rPr>
                <w:rFonts w:ascii="標楷體" w:eastAsia="標楷體" w:hAnsi="標楷體"/>
              </w:rPr>
            </w:pPr>
            <w:r>
              <w:rPr>
                <w:rFonts w:ascii="標楷體" w:eastAsia="標楷體" w:hAnsi="標楷體"/>
              </w:rPr>
              <w:t>沙盤督</w:t>
            </w:r>
          </w:p>
        </w:tc>
      </w:tr>
      <w:tr w:rsidR="000C1FCB" w:rsidTr="00E46291">
        <w:trPr>
          <w:trHeight w:val="173"/>
        </w:trPr>
        <w:tc>
          <w:tcPr>
            <w:tcW w:w="846" w:type="dxa"/>
            <w:vMerge/>
          </w:tcPr>
          <w:p w:rsidR="000C1FCB" w:rsidRPr="0084060D" w:rsidRDefault="000C1FCB" w:rsidP="000C1FCB"/>
        </w:tc>
        <w:tc>
          <w:tcPr>
            <w:tcW w:w="6662" w:type="dxa"/>
          </w:tcPr>
          <w:p w:rsidR="000C1FCB" w:rsidRDefault="00463F6E" w:rsidP="000C1FCB">
            <w:pPr>
              <w:jc w:val="both"/>
              <w:rPr>
                <w:rFonts w:ascii="標楷體" w:eastAsia="標楷體" w:hAnsi="標楷體"/>
              </w:rPr>
            </w:pPr>
            <w:r>
              <w:rPr>
                <w:rFonts w:ascii="標楷體" w:eastAsia="標楷體" w:hAnsi="標楷體" w:hint="eastAsia"/>
              </w:rPr>
              <w:t>受督</w:t>
            </w:r>
            <w:r w:rsidR="00E46291">
              <w:rPr>
                <w:rFonts w:ascii="標楷體" w:eastAsia="標楷體" w:hAnsi="標楷體" w:hint="eastAsia"/>
              </w:rPr>
              <w:t>者</w:t>
            </w:r>
            <w:r>
              <w:rPr>
                <w:rFonts w:ascii="標楷體" w:eastAsia="標楷體" w:hAnsi="標楷體" w:hint="eastAsia"/>
              </w:rPr>
              <w:t>：</w:t>
            </w:r>
            <w:r w:rsidR="000C1FCB" w:rsidRPr="000C1FCB">
              <w:rPr>
                <w:rFonts w:ascii="標楷體" w:eastAsia="標楷體" w:hAnsi="標楷體" w:hint="eastAsia"/>
              </w:rPr>
              <w:t>我覺得當時</w:t>
            </w:r>
            <w:r w:rsidR="005B1632">
              <w:rPr>
                <w:rFonts w:ascii="標楷體" w:eastAsia="標楷體" w:hAnsi="標楷體" w:hint="eastAsia"/>
              </w:rPr>
              <w:t>有很多澄清，那時候的意圖，一方面是讓我知道我有聽懂，</w:t>
            </w:r>
            <w:r w:rsidR="000C1FCB" w:rsidRPr="000C1FCB">
              <w:rPr>
                <w:rFonts w:ascii="標楷體" w:eastAsia="標楷體" w:hAnsi="標楷體" w:hint="eastAsia"/>
              </w:rPr>
              <w:t>一方面是讓個案自己在複習是自己的目前的信念是什麼，讓他更清楚自己是怎麼想的</w:t>
            </w:r>
            <w:r w:rsidR="005B1632">
              <w:rPr>
                <w:rFonts w:ascii="標楷體" w:eastAsia="標楷體" w:hAnsi="標楷體" w:hint="eastAsia"/>
              </w:rPr>
              <w:t>。</w:t>
            </w:r>
          </w:p>
        </w:tc>
        <w:tc>
          <w:tcPr>
            <w:tcW w:w="1276" w:type="dxa"/>
            <w:vMerge/>
          </w:tcPr>
          <w:p w:rsidR="000C1FCB" w:rsidRDefault="000C1FCB" w:rsidP="000C1FCB">
            <w:pPr>
              <w:jc w:val="both"/>
              <w:rPr>
                <w:rFonts w:ascii="標楷體" w:eastAsia="標楷體" w:hAnsi="標楷體"/>
              </w:rPr>
            </w:pPr>
          </w:p>
        </w:tc>
      </w:tr>
      <w:tr w:rsidR="000C1FCB" w:rsidTr="00E46291">
        <w:trPr>
          <w:trHeight w:val="135"/>
        </w:trPr>
        <w:tc>
          <w:tcPr>
            <w:tcW w:w="846" w:type="dxa"/>
            <w:vMerge w:val="restart"/>
          </w:tcPr>
          <w:p w:rsidR="000C1FCB" w:rsidRPr="0084060D" w:rsidRDefault="000C1FCB" w:rsidP="000C1FCB">
            <w:r w:rsidRPr="0084060D">
              <w:t>Eye 3</w:t>
            </w:r>
          </w:p>
        </w:tc>
        <w:tc>
          <w:tcPr>
            <w:tcW w:w="6662" w:type="dxa"/>
          </w:tcPr>
          <w:p w:rsidR="000C1FCB" w:rsidRDefault="00463F6E" w:rsidP="00463F6E">
            <w:pPr>
              <w:jc w:val="both"/>
              <w:rPr>
                <w:rFonts w:ascii="標楷體" w:eastAsia="標楷體" w:hAnsi="標楷體"/>
              </w:rPr>
            </w:pPr>
            <w:r>
              <w:rPr>
                <w:rFonts w:ascii="標楷體" w:eastAsia="標楷體" w:hAnsi="標楷體" w:hint="eastAsia"/>
              </w:rPr>
              <w:t>督導</w:t>
            </w:r>
            <w:r w:rsidR="00E46291">
              <w:rPr>
                <w:rFonts w:ascii="標楷體" w:eastAsia="標楷體" w:hAnsi="標楷體" w:hint="eastAsia"/>
              </w:rPr>
              <w:t>者</w:t>
            </w:r>
            <w:r>
              <w:rPr>
                <w:rFonts w:ascii="標楷體" w:eastAsia="標楷體" w:hAnsi="標楷體" w:hint="eastAsia"/>
              </w:rPr>
              <w:t>：我覺得可以做一個</w:t>
            </w:r>
            <w:r w:rsidRPr="00463F6E">
              <w:rPr>
                <w:rFonts w:ascii="標楷體" w:eastAsia="標楷體" w:hAnsi="標楷體" w:hint="eastAsia"/>
              </w:rPr>
              <w:t>一開始你們的諮商關係跟現在的諮商關係</w:t>
            </w:r>
            <w:r>
              <w:rPr>
                <w:rFonts w:ascii="標楷體" w:eastAsia="標楷體" w:hAnsi="標楷體" w:hint="eastAsia"/>
              </w:rPr>
              <w:t>的盤</w:t>
            </w:r>
            <w:r w:rsidRPr="00463F6E">
              <w:rPr>
                <w:rFonts w:ascii="標楷體" w:eastAsia="標楷體" w:hAnsi="標楷體" w:hint="eastAsia"/>
              </w:rPr>
              <w:t>，那你可以用你自己的方式自由創造</w:t>
            </w:r>
            <w:r>
              <w:rPr>
                <w:rFonts w:ascii="標楷體" w:eastAsia="標楷體" w:hAnsi="標楷體" w:hint="eastAsia"/>
              </w:rPr>
              <w:t>。</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督生A</w:t>
            </w:r>
          </w:p>
          <w:p w:rsidR="000C1FCB" w:rsidRDefault="006D40FA" w:rsidP="000C1FCB">
            <w:pPr>
              <w:jc w:val="both"/>
              <w:rPr>
                <w:rFonts w:ascii="標楷體" w:eastAsia="標楷體" w:hAnsi="標楷體"/>
              </w:rPr>
            </w:pPr>
            <w:r>
              <w:rPr>
                <w:rFonts w:ascii="標楷體" w:eastAsia="標楷體" w:hAnsi="標楷體"/>
              </w:rPr>
              <w:t>沙盤督</w:t>
            </w:r>
          </w:p>
        </w:tc>
      </w:tr>
      <w:tr w:rsidR="000C1FCB" w:rsidTr="00E46291">
        <w:trPr>
          <w:trHeight w:val="225"/>
        </w:trPr>
        <w:tc>
          <w:tcPr>
            <w:tcW w:w="846" w:type="dxa"/>
            <w:vMerge/>
          </w:tcPr>
          <w:p w:rsidR="000C1FCB" w:rsidRPr="0084060D" w:rsidRDefault="000C1FCB" w:rsidP="000C1FCB"/>
        </w:tc>
        <w:tc>
          <w:tcPr>
            <w:tcW w:w="6662" w:type="dxa"/>
          </w:tcPr>
          <w:p w:rsidR="000C1FCB" w:rsidRDefault="00463F6E" w:rsidP="00366ED1">
            <w:pPr>
              <w:jc w:val="both"/>
              <w:rPr>
                <w:rFonts w:ascii="標楷體" w:eastAsia="標楷體" w:hAnsi="標楷體"/>
              </w:rPr>
            </w:pPr>
            <w:r>
              <w:rPr>
                <w:rFonts w:ascii="標楷體" w:eastAsia="標楷體" w:hAnsi="標楷體" w:hint="eastAsia"/>
              </w:rPr>
              <w:t>受督者：</w:t>
            </w:r>
            <w:r w:rsidR="00366ED1">
              <w:rPr>
                <w:rFonts w:ascii="標楷體" w:eastAsia="標楷體" w:hAnsi="標楷體" w:hint="eastAsia"/>
              </w:rPr>
              <w:t>這是一開始的</w:t>
            </w:r>
            <w:r w:rsidRPr="00463F6E">
              <w:rPr>
                <w:rFonts w:ascii="標楷體" w:eastAsia="標楷體" w:hAnsi="標楷體" w:hint="eastAsia"/>
              </w:rPr>
              <w:t>狀態</w:t>
            </w:r>
            <w:r>
              <w:rPr>
                <w:rFonts w:ascii="標楷體" w:eastAsia="標楷體" w:hAnsi="標楷體" w:hint="eastAsia"/>
              </w:rPr>
              <w:t>，然後個案進來其實是可以感覺到</w:t>
            </w:r>
            <w:r w:rsidR="00366ED1">
              <w:rPr>
                <w:rFonts w:ascii="標楷體" w:eastAsia="標楷體" w:hAnsi="標楷體" w:hint="eastAsia"/>
              </w:rPr>
              <w:t>有點慌張，不太知道要講什麼，也不知道</w:t>
            </w:r>
            <w:r>
              <w:rPr>
                <w:rFonts w:ascii="標楷體" w:eastAsia="標楷體" w:hAnsi="標楷體" w:hint="eastAsia"/>
              </w:rPr>
              <w:t>講</w:t>
            </w:r>
            <w:r w:rsidRPr="00463F6E">
              <w:rPr>
                <w:rFonts w:ascii="標楷體" w:eastAsia="標楷體" w:hAnsi="標楷體" w:hint="eastAsia"/>
              </w:rPr>
              <w:t>這些東西是不是安全</w:t>
            </w:r>
            <w:r>
              <w:rPr>
                <w:rFonts w:ascii="標楷體" w:eastAsia="標楷體" w:hAnsi="標楷體" w:hint="eastAsia"/>
              </w:rPr>
              <w:t>，</w:t>
            </w:r>
            <w:r w:rsidR="00366ED1">
              <w:rPr>
                <w:rFonts w:ascii="標楷體" w:eastAsia="標楷體" w:hAnsi="標楷體" w:hint="eastAsia"/>
              </w:rPr>
              <w:t>那我</w:t>
            </w:r>
            <w:r w:rsidRPr="00463F6E">
              <w:rPr>
                <w:rFonts w:ascii="標楷體" w:eastAsia="標楷體" w:hAnsi="標楷體" w:hint="eastAsia"/>
              </w:rPr>
              <w:t>是</w:t>
            </w:r>
            <w:r>
              <w:rPr>
                <w:rFonts w:ascii="標楷體" w:eastAsia="標楷體" w:hAnsi="標楷體" w:hint="eastAsia"/>
              </w:rPr>
              <w:t>一個拿著書的老師，</w:t>
            </w:r>
            <w:r w:rsidR="00366ED1">
              <w:rPr>
                <w:rFonts w:ascii="標楷體" w:eastAsia="標楷體" w:hAnsi="標楷體" w:hint="eastAsia"/>
              </w:rPr>
              <w:t>就是我比較像是在跟他探討，</w:t>
            </w:r>
            <w:r w:rsidRPr="00463F6E">
              <w:rPr>
                <w:rFonts w:ascii="標楷體" w:eastAsia="標楷體" w:hAnsi="標楷體" w:hint="eastAsia"/>
              </w:rPr>
              <w:t>你這句話什麼意思你這個概念你這個想法是什麼意思</w:t>
            </w:r>
            <w:r w:rsidR="00366ED1">
              <w:rPr>
                <w:rFonts w:ascii="標楷體" w:eastAsia="標楷體" w:hAnsi="標楷體" w:hint="eastAsia"/>
              </w:rPr>
              <w:t>，</w:t>
            </w:r>
            <w:r w:rsidRPr="00463F6E">
              <w:rPr>
                <w:rFonts w:ascii="標楷體" w:eastAsia="標楷體" w:hAnsi="標楷體" w:hint="eastAsia"/>
              </w:rPr>
              <w:t>這樣認知的探討</w:t>
            </w:r>
            <w:r>
              <w:rPr>
                <w:rFonts w:ascii="標楷體" w:eastAsia="標楷體" w:hAnsi="標楷體" w:hint="eastAsia"/>
              </w:rPr>
              <w:t>。</w:t>
            </w:r>
          </w:p>
        </w:tc>
        <w:tc>
          <w:tcPr>
            <w:tcW w:w="1276" w:type="dxa"/>
            <w:vMerge/>
          </w:tcPr>
          <w:p w:rsidR="000C1FCB" w:rsidRDefault="000C1FCB" w:rsidP="000C1FCB">
            <w:pPr>
              <w:jc w:val="both"/>
              <w:rPr>
                <w:rFonts w:ascii="標楷體" w:eastAsia="標楷體" w:hAnsi="標楷體"/>
              </w:rPr>
            </w:pPr>
          </w:p>
        </w:tc>
      </w:tr>
      <w:tr w:rsidR="000C1FCB" w:rsidTr="00E46291">
        <w:trPr>
          <w:trHeight w:val="240"/>
        </w:trPr>
        <w:tc>
          <w:tcPr>
            <w:tcW w:w="846" w:type="dxa"/>
            <w:vMerge w:val="restart"/>
          </w:tcPr>
          <w:p w:rsidR="000C1FCB" w:rsidRPr="0084060D" w:rsidRDefault="000C1FCB" w:rsidP="000C1FCB">
            <w:r w:rsidRPr="0084060D">
              <w:t>Eye 4</w:t>
            </w:r>
          </w:p>
        </w:tc>
        <w:tc>
          <w:tcPr>
            <w:tcW w:w="6662" w:type="dxa"/>
          </w:tcPr>
          <w:p w:rsidR="000C1FCB" w:rsidRDefault="00463F6E" w:rsidP="00960D22">
            <w:pPr>
              <w:jc w:val="both"/>
              <w:rPr>
                <w:rFonts w:ascii="標楷體" w:eastAsia="標楷體" w:hAnsi="標楷體"/>
              </w:rPr>
            </w:pPr>
            <w:r>
              <w:rPr>
                <w:rFonts w:ascii="標楷體" w:eastAsia="標楷體" w:hAnsi="標楷體" w:hint="eastAsia"/>
              </w:rPr>
              <w:t>受督者：</w:t>
            </w:r>
            <w:r w:rsidR="005C48E6">
              <w:rPr>
                <w:rFonts w:ascii="標楷體" w:eastAsia="標楷體" w:hAnsi="標楷體" w:hint="eastAsia"/>
              </w:rPr>
              <w:t>這是</w:t>
            </w:r>
            <w:r w:rsidRPr="00463F6E">
              <w:rPr>
                <w:rFonts w:ascii="標楷體" w:eastAsia="標楷體" w:hAnsi="標楷體" w:hint="eastAsia"/>
              </w:rPr>
              <w:t>諮商初期的時候，有點小卡住的地方，我自己站在他的角度想，好像也沒辦法去很快地推進說要他表達這件事，因為那個阻力還是很強大的</w:t>
            </w:r>
            <w:r>
              <w:rPr>
                <w:rFonts w:ascii="標楷體" w:eastAsia="標楷體" w:hAnsi="標楷體" w:hint="eastAsia"/>
              </w:rPr>
              <w:t>。</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督生A</w:t>
            </w:r>
          </w:p>
          <w:p w:rsidR="000C1FCB" w:rsidRDefault="006D40FA" w:rsidP="000C1FCB">
            <w:pPr>
              <w:jc w:val="both"/>
              <w:rPr>
                <w:rFonts w:ascii="標楷體" w:eastAsia="標楷體" w:hAnsi="標楷體"/>
              </w:rPr>
            </w:pPr>
            <w:r>
              <w:rPr>
                <w:rFonts w:ascii="標楷體" w:eastAsia="標楷體" w:hAnsi="標楷體"/>
              </w:rPr>
              <w:t>非沙盤督</w:t>
            </w:r>
          </w:p>
          <w:p w:rsidR="006D40FA" w:rsidRDefault="006D40FA" w:rsidP="000C1FCB">
            <w:pPr>
              <w:jc w:val="both"/>
              <w:rPr>
                <w:rFonts w:ascii="標楷體" w:eastAsia="標楷體" w:hAnsi="標楷體"/>
              </w:rPr>
            </w:pPr>
          </w:p>
        </w:tc>
      </w:tr>
      <w:tr w:rsidR="000C1FCB" w:rsidTr="00E46291">
        <w:trPr>
          <w:trHeight w:val="128"/>
        </w:trPr>
        <w:tc>
          <w:tcPr>
            <w:tcW w:w="846" w:type="dxa"/>
            <w:vMerge/>
          </w:tcPr>
          <w:p w:rsidR="000C1FCB" w:rsidRPr="0084060D" w:rsidRDefault="000C1FCB" w:rsidP="000C1FCB"/>
        </w:tc>
        <w:tc>
          <w:tcPr>
            <w:tcW w:w="6662" w:type="dxa"/>
          </w:tcPr>
          <w:p w:rsidR="000C1FCB" w:rsidRPr="00463F6E" w:rsidRDefault="00463F6E" w:rsidP="000C1FCB">
            <w:pPr>
              <w:jc w:val="both"/>
              <w:rPr>
                <w:rFonts w:ascii="標楷體" w:eastAsia="標楷體" w:hAnsi="標楷體"/>
              </w:rPr>
            </w:pPr>
            <w:r>
              <w:rPr>
                <w:rFonts w:ascii="標楷體" w:eastAsia="標楷體" w:hAnsi="標楷體" w:hint="eastAsia"/>
              </w:rPr>
              <w:t>督導</w:t>
            </w:r>
            <w:r w:rsidR="0063761C">
              <w:rPr>
                <w:rFonts w:ascii="標楷體" w:eastAsia="標楷體" w:hAnsi="標楷體" w:hint="eastAsia"/>
              </w:rPr>
              <w:t>者</w:t>
            </w:r>
            <w:r>
              <w:rPr>
                <w:rFonts w:ascii="標楷體" w:eastAsia="標楷體" w:hAnsi="標楷體" w:hint="eastAsia"/>
              </w:rPr>
              <w:t>：</w:t>
            </w:r>
            <w:r w:rsidRPr="00463F6E">
              <w:rPr>
                <w:rFonts w:ascii="標楷體" w:eastAsia="標楷體" w:hAnsi="標楷體" w:hint="eastAsia"/>
              </w:rPr>
              <w:t>你希望可以推進他，再多表達他自己真實的感受這個部分</w:t>
            </w:r>
            <w:r>
              <w:rPr>
                <w:rFonts w:ascii="標楷體" w:eastAsia="標楷體" w:hAnsi="標楷體" w:hint="eastAsia"/>
              </w:rPr>
              <w:t>，但感到</w:t>
            </w:r>
            <w:r w:rsidR="00450AE1">
              <w:rPr>
                <w:rFonts w:ascii="標楷體" w:eastAsia="標楷體" w:hAnsi="標楷體" w:hint="eastAsia"/>
              </w:rPr>
              <w:t>有些窒礙難行</w:t>
            </w:r>
            <w:r>
              <w:rPr>
                <w:rFonts w:ascii="標楷體" w:eastAsia="標楷體" w:hAnsi="標楷體" w:hint="eastAsia"/>
              </w:rPr>
              <w:t>。</w:t>
            </w:r>
          </w:p>
        </w:tc>
        <w:tc>
          <w:tcPr>
            <w:tcW w:w="1276" w:type="dxa"/>
            <w:vMerge/>
          </w:tcPr>
          <w:p w:rsidR="000C1FCB" w:rsidRDefault="000C1FCB" w:rsidP="000C1FCB">
            <w:pPr>
              <w:jc w:val="both"/>
              <w:rPr>
                <w:rFonts w:ascii="標楷體" w:eastAsia="標楷體" w:hAnsi="標楷體"/>
              </w:rPr>
            </w:pPr>
          </w:p>
        </w:tc>
      </w:tr>
      <w:tr w:rsidR="000C1FCB" w:rsidTr="00E46291">
        <w:trPr>
          <w:trHeight w:val="127"/>
        </w:trPr>
        <w:tc>
          <w:tcPr>
            <w:tcW w:w="846" w:type="dxa"/>
            <w:vMerge w:val="restart"/>
          </w:tcPr>
          <w:p w:rsidR="000C1FCB" w:rsidRPr="0084060D" w:rsidRDefault="000C1FCB" w:rsidP="000C1FCB">
            <w:r w:rsidRPr="0084060D">
              <w:t>Eye 5</w:t>
            </w:r>
          </w:p>
        </w:tc>
        <w:tc>
          <w:tcPr>
            <w:tcW w:w="6662" w:type="dxa"/>
          </w:tcPr>
          <w:p w:rsidR="000C1FCB" w:rsidRDefault="001E4617" w:rsidP="00A91309">
            <w:pPr>
              <w:jc w:val="both"/>
              <w:rPr>
                <w:rFonts w:ascii="標楷體" w:eastAsia="標楷體" w:hAnsi="標楷體"/>
              </w:rPr>
            </w:pPr>
            <w:r>
              <w:rPr>
                <w:rFonts w:ascii="標楷體" w:eastAsia="標楷體" w:hAnsi="標楷體" w:hint="eastAsia"/>
              </w:rPr>
              <w:t>受督者：</w:t>
            </w:r>
            <w:r w:rsidR="00A91309">
              <w:rPr>
                <w:rFonts w:ascii="標楷體" w:eastAsia="標楷體" w:hAnsi="標楷體" w:hint="eastAsia"/>
              </w:rPr>
              <w:t>以</w:t>
            </w:r>
            <w:r w:rsidR="00A91309" w:rsidRPr="001E4617">
              <w:rPr>
                <w:rFonts w:ascii="標楷體" w:eastAsia="標楷體" w:hAnsi="標楷體" w:hint="eastAsia"/>
              </w:rPr>
              <w:t>現在來說</w:t>
            </w:r>
            <w:r w:rsidR="00A91309">
              <w:rPr>
                <w:rFonts w:ascii="標楷體" w:eastAsia="標楷體" w:hAnsi="標楷體" w:hint="eastAsia"/>
              </w:rPr>
              <w:t>，我可能會需要</w:t>
            </w:r>
            <w:r w:rsidRPr="001E4617">
              <w:rPr>
                <w:rFonts w:ascii="標楷體" w:eastAsia="標楷體" w:hAnsi="標楷體" w:hint="eastAsia"/>
              </w:rPr>
              <w:t>身邊有</w:t>
            </w:r>
            <w:r>
              <w:rPr>
                <w:rFonts w:ascii="標楷體" w:eastAsia="標楷體" w:hAnsi="標楷體" w:hint="eastAsia"/>
              </w:rPr>
              <w:t>一</w:t>
            </w:r>
            <w:r w:rsidRPr="001E4617">
              <w:rPr>
                <w:rFonts w:ascii="標楷體" w:eastAsia="標楷體" w:hAnsi="標楷體" w:hint="eastAsia"/>
              </w:rPr>
              <w:t>個</w:t>
            </w:r>
            <w:r w:rsidR="00A91309">
              <w:rPr>
                <w:rFonts w:ascii="標楷體" w:eastAsia="標楷體" w:hAnsi="標楷體" w:hint="eastAsia"/>
              </w:rPr>
              <w:t>，</w:t>
            </w:r>
            <w:r w:rsidRPr="001E4617">
              <w:rPr>
                <w:rFonts w:ascii="標楷體" w:eastAsia="標楷體" w:hAnsi="標楷體" w:hint="eastAsia"/>
              </w:rPr>
              <w:t>就是</w:t>
            </w:r>
            <w:r w:rsidR="00A91309">
              <w:rPr>
                <w:rFonts w:ascii="標楷體" w:eastAsia="標楷體" w:hAnsi="標楷體" w:hint="eastAsia"/>
              </w:rPr>
              <w:t>像</w:t>
            </w:r>
            <w:r w:rsidRPr="001E4617">
              <w:rPr>
                <w:rFonts w:ascii="標楷體" w:eastAsia="標楷體" w:hAnsi="標楷體" w:hint="eastAsia"/>
              </w:rPr>
              <w:t>督導你</w:t>
            </w:r>
            <w:r w:rsidR="00A91309">
              <w:rPr>
                <w:rFonts w:ascii="標楷體" w:eastAsia="標楷體" w:hAnsi="標楷體" w:hint="eastAsia"/>
              </w:rPr>
              <w:t>這樣</w:t>
            </w:r>
            <w:r w:rsidRPr="001E4617">
              <w:rPr>
                <w:rFonts w:ascii="標楷體" w:eastAsia="標楷體" w:hAnsi="標楷體" w:hint="eastAsia"/>
              </w:rPr>
              <w:t>，對我來說去肯定我做的事情</w:t>
            </w:r>
            <w:r w:rsidR="00A91309">
              <w:rPr>
                <w:rFonts w:ascii="標楷體" w:eastAsia="標楷體" w:hAnsi="標楷體" w:hint="eastAsia"/>
              </w:rPr>
              <w:t>的人</w:t>
            </w:r>
            <w:r>
              <w:rPr>
                <w:rFonts w:ascii="標楷體" w:eastAsia="標楷體" w:hAnsi="標楷體" w:hint="eastAsia"/>
              </w:rPr>
              <w:t>。</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督生B</w:t>
            </w:r>
          </w:p>
          <w:p w:rsidR="000C1FCB" w:rsidRDefault="006D40FA" w:rsidP="000C1FCB">
            <w:pPr>
              <w:jc w:val="both"/>
              <w:rPr>
                <w:rFonts w:ascii="標楷體" w:eastAsia="標楷體" w:hAnsi="標楷體"/>
              </w:rPr>
            </w:pPr>
            <w:r>
              <w:rPr>
                <w:rFonts w:ascii="標楷體" w:eastAsia="標楷體" w:hAnsi="標楷體"/>
              </w:rPr>
              <w:t>沙盤督</w:t>
            </w:r>
          </w:p>
        </w:tc>
      </w:tr>
      <w:tr w:rsidR="000C1FCB" w:rsidTr="00E46291">
        <w:trPr>
          <w:trHeight w:val="233"/>
        </w:trPr>
        <w:tc>
          <w:tcPr>
            <w:tcW w:w="846" w:type="dxa"/>
            <w:vMerge/>
          </w:tcPr>
          <w:p w:rsidR="000C1FCB" w:rsidRPr="0084060D" w:rsidRDefault="000C1FCB" w:rsidP="000C1FCB"/>
        </w:tc>
        <w:tc>
          <w:tcPr>
            <w:tcW w:w="6662" w:type="dxa"/>
          </w:tcPr>
          <w:p w:rsidR="000C1FCB" w:rsidRDefault="00AA77E1" w:rsidP="00E033B4">
            <w:pPr>
              <w:jc w:val="both"/>
              <w:rPr>
                <w:rFonts w:ascii="標楷體" w:eastAsia="標楷體" w:hAnsi="標楷體"/>
              </w:rPr>
            </w:pPr>
            <w:r>
              <w:rPr>
                <w:rFonts w:ascii="標楷體" w:eastAsia="標楷體" w:hAnsi="標楷體" w:hint="eastAsia"/>
              </w:rPr>
              <w:t>督導</w:t>
            </w:r>
            <w:r w:rsidR="0063761C">
              <w:rPr>
                <w:rFonts w:ascii="標楷體" w:eastAsia="標楷體" w:hAnsi="標楷體" w:hint="eastAsia"/>
              </w:rPr>
              <w:t>者</w:t>
            </w:r>
            <w:r>
              <w:rPr>
                <w:rFonts w:ascii="標楷體" w:eastAsia="標楷體" w:hAnsi="標楷體" w:hint="eastAsia"/>
              </w:rPr>
              <w:t>：我很開心能成為你的支持，然而</w:t>
            </w:r>
            <w:r w:rsidRPr="00AA77E1">
              <w:rPr>
                <w:rFonts w:ascii="標楷體" w:eastAsia="標楷體" w:hAnsi="標楷體" w:hint="eastAsia"/>
              </w:rPr>
              <w:t>我們督導的次數也是有限的，</w:t>
            </w:r>
            <w:r w:rsidR="00E033B4">
              <w:rPr>
                <w:rFonts w:ascii="標楷體" w:eastAsia="標楷體" w:hAnsi="標楷體" w:hint="eastAsia"/>
              </w:rPr>
              <w:t>那在你的工作中或生活中，</w:t>
            </w:r>
            <w:r w:rsidRPr="00AA77E1">
              <w:rPr>
                <w:rFonts w:ascii="標楷體" w:eastAsia="標楷體" w:hAnsi="標楷體" w:hint="eastAsia"/>
              </w:rPr>
              <w:t>能夠繼續找到這樣的支持者嗎</w:t>
            </w:r>
            <w:r>
              <w:rPr>
                <w:rFonts w:ascii="標楷體" w:eastAsia="標楷體" w:hAnsi="標楷體" w:hint="eastAsia"/>
              </w:rPr>
              <w:t>？</w:t>
            </w:r>
          </w:p>
        </w:tc>
        <w:tc>
          <w:tcPr>
            <w:tcW w:w="1276" w:type="dxa"/>
            <w:vMerge/>
          </w:tcPr>
          <w:p w:rsidR="000C1FCB" w:rsidRDefault="000C1FCB" w:rsidP="000C1FCB">
            <w:pPr>
              <w:jc w:val="both"/>
              <w:rPr>
                <w:rFonts w:ascii="標楷體" w:eastAsia="標楷體" w:hAnsi="標楷體"/>
              </w:rPr>
            </w:pPr>
          </w:p>
        </w:tc>
      </w:tr>
      <w:tr w:rsidR="000C1FCB" w:rsidTr="00E46291">
        <w:trPr>
          <w:trHeight w:val="232"/>
        </w:trPr>
        <w:tc>
          <w:tcPr>
            <w:tcW w:w="846" w:type="dxa"/>
            <w:vMerge w:val="restart"/>
          </w:tcPr>
          <w:p w:rsidR="000C1FCB" w:rsidRPr="0084060D" w:rsidRDefault="000C1FCB" w:rsidP="000C1FCB">
            <w:r w:rsidRPr="0084060D">
              <w:t>Eye 6</w:t>
            </w:r>
          </w:p>
        </w:tc>
        <w:tc>
          <w:tcPr>
            <w:tcW w:w="6662" w:type="dxa"/>
          </w:tcPr>
          <w:p w:rsidR="000C1FCB" w:rsidRDefault="004C27ED" w:rsidP="000C1FCB">
            <w:pPr>
              <w:jc w:val="both"/>
              <w:rPr>
                <w:rFonts w:ascii="標楷體" w:eastAsia="標楷體" w:hAnsi="標楷體"/>
              </w:rPr>
            </w:pPr>
            <w:r>
              <w:rPr>
                <w:rFonts w:ascii="標楷體" w:eastAsia="標楷體" w:hAnsi="標楷體"/>
              </w:rPr>
              <w:t>受督者：督導</w:t>
            </w:r>
            <w:r w:rsidR="001D075A">
              <w:rPr>
                <w:rFonts w:ascii="標楷體" w:eastAsia="標楷體" w:hAnsi="標楷體"/>
              </w:rPr>
              <w:t>覺得呢？</w:t>
            </w:r>
          </w:p>
        </w:tc>
        <w:tc>
          <w:tcPr>
            <w:tcW w:w="1276" w:type="dxa"/>
            <w:vMerge w:val="restart"/>
          </w:tcPr>
          <w:p w:rsidR="000C1FCB" w:rsidRDefault="001D075A" w:rsidP="000C1FCB">
            <w:pPr>
              <w:jc w:val="both"/>
              <w:rPr>
                <w:rFonts w:ascii="標楷體" w:eastAsia="標楷體" w:hAnsi="標楷體"/>
              </w:rPr>
            </w:pPr>
            <w:r>
              <w:rPr>
                <w:rFonts w:ascii="標楷體" w:eastAsia="標楷體" w:hAnsi="標楷體"/>
              </w:rPr>
              <w:t>督導B</w:t>
            </w:r>
          </w:p>
          <w:p w:rsidR="005F275D" w:rsidRDefault="005F275D" w:rsidP="000C1FCB">
            <w:pPr>
              <w:jc w:val="both"/>
              <w:rPr>
                <w:rFonts w:ascii="標楷體" w:eastAsia="標楷體" w:hAnsi="標楷體"/>
              </w:rPr>
            </w:pPr>
            <w:r>
              <w:rPr>
                <w:rFonts w:ascii="標楷體" w:eastAsia="標楷體" w:hAnsi="標楷體" w:hint="eastAsia"/>
              </w:rPr>
              <w:t>沙盤督</w:t>
            </w:r>
          </w:p>
        </w:tc>
      </w:tr>
      <w:tr w:rsidR="000C1FCB" w:rsidTr="00E46291">
        <w:trPr>
          <w:trHeight w:val="128"/>
        </w:trPr>
        <w:tc>
          <w:tcPr>
            <w:tcW w:w="846" w:type="dxa"/>
            <w:vMerge/>
          </w:tcPr>
          <w:p w:rsidR="000C1FCB" w:rsidRPr="0084060D" w:rsidRDefault="000C1FCB" w:rsidP="000C1FCB"/>
        </w:tc>
        <w:tc>
          <w:tcPr>
            <w:tcW w:w="6662" w:type="dxa"/>
          </w:tcPr>
          <w:p w:rsidR="000C1FCB" w:rsidRDefault="001D075A" w:rsidP="001D075A">
            <w:pPr>
              <w:jc w:val="both"/>
              <w:rPr>
                <w:rFonts w:ascii="標楷體" w:eastAsia="標楷體" w:hAnsi="標楷體"/>
              </w:rPr>
            </w:pPr>
            <w:r>
              <w:rPr>
                <w:rFonts w:ascii="標楷體" w:eastAsia="標楷體" w:hAnsi="標楷體"/>
              </w:rPr>
              <w:t>督導者：</w:t>
            </w:r>
            <w:r w:rsidRPr="001D075A">
              <w:rPr>
                <w:rFonts w:ascii="標楷體" w:eastAsia="標楷體" w:hAnsi="標楷體" w:hint="eastAsia"/>
              </w:rPr>
              <w:t>剛剛你提到的，其實有一些專輔，好像是不跟家長工作的</w:t>
            </w:r>
            <w:r w:rsidR="007E67CD">
              <w:rPr>
                <w:rFonts w:ascii="標楷體" w:eastAsia="標楷體" w:hAnsi="標楷體" w:hint="eastAsia"/>
              </w:rPr>
              <w:t>，所以我自己也在思考，工作模式是很多種的，都可以再試試</w:t>
            </w:r>
            <w:r>
              <w:rPr>
                <w:rFonts w:ascii="標楷體" w:eastAsia="標楷體" w:hAnsi="標楷體" w:hint="eastAsia"/>
              </w:rPr>
              <w:t>怎樣是</w:t>
            </w:r>
            <w:r w:rsidR="007E67CD">
              <w:rPr>
                <w:rFonts w:ascii="標楷體" w:eastAsia="標楷體" w:hAnsi="標楷體" w:hint="eastAsia"/>
              </w:rPr>
              <w:t>覺得比較舒服的，而且可以長久</w:t>
            </w:r>
            <w:r w:rsidRPr="001D075A">
              <w:rPr>
                <w:rFonts w:ascii="標楷體" w:eastAsia="標楷體" w:hAnsi="標楷體" w:hint="eastAsia"/>
              </w:rPr>
              <w:t>經營跟運作</w:t>
            </w:r>
            <w:r w:rsidR="007E67CD">
              <w:rPr>
                <w:rFonts w:ascii="標楷體" w:eastAsia="標楷體" w:hAnsi="標楷體" w:hint="eastAsia"/>
              </w:rPr>
              <w:t>的</w:t>
            </w:r>
            <w:r>
              <w:rPr>
                <w:rFonts w:ascii="標楷體" w:eastAsia="標楷體" w:hAnsi="標楷體" w:hint="eastAsia"/>
              </w:rPr>
              <w:t>。</w:t>
            </w:r>
          </w:p>
        </w:tc>
        <w:tc>
          <w:tcPr>
            <w:tcW w:w="1276" w:type="dxa"/>
            <w:vMerge/>
          </w:tcPr>
          <w:p w:rsidR="000C1FCB" w:rsidRDefault="000C1FCB" w:rsidP="000C1FCB">
            <w:pPr>
              <w:jc w:val="both"/>
              <w:rPr>
                <w:rFonts w:ascii="標楷體" w:eastAsia="標楷體" w:hAnsi="標楷體"/>
              </w:rPr>
            </w:pPr>
          </w:p>
        </w:tc>
      </w:tr>
      <w:tr w:rsidR="000C1FCB" w:rsidTr="00E46291">
        <w:trPr>
          <w:trHeight w:val="240"/>
        </w:trPr>
        <w:tc>
          <w:tcPr>
            <w:tcW w:w="846" w:type="dxa"/>
            <w:vMerge w:val="restart"/>
          </w:tcPr>
          <w:p w:rsidR="000C1FCB" w:rsidRPr="0084060D" w:rsidRDefault="000C1FCB" w:rsidP="000C1FCB">
            <w:r w:rsidRPr="00AD07D8">
              <w:rPr>
                <w:rFonts w:ascii="標楷體" w:eastAsia="標楷體" w:hAnsi="標楷體" w:hint="eastAsia"/>
              </w:rPr>
              <w:t>E</w:t>
            </w:r>
            <w:r w:rsidRPr="00AD07D8">
              <w:rPr>
                <w:rFonts w:ascii="標楷體" w:eastAsia="標楷體" w:hAnsi="標楷體"/>
              </w:rPr>
              <w:t>ye 7</w:t>
            </w:r>
          </w:p>
        </w:tc>
        <w:tc>
          <w:tcPr>
            <w:tcW w:w="6662" w:type="dxa"/>
          </w:tcPr>
          <w:p w:rsidR="000C1FCB" w:rsidRDefault="00EB246D" w:rsidP="00A81C59">
            <w:pPr>
              <w:jc w:val="both"/>
              <w:rPr>
                <w:rFonts w:ascii="標楷體" w:eastAsia="標楷體" w:hAnsi="標楷體"/>
              </w:rPr>
            </w:pPr>
            <w:r>
              <w:rPr>
                <w:rFonts w:ascii="標楷體" w:eastAsia="標楷體" w:hAnsi="標楷體" w:hint="eastAsia"/>
              </w:rPr>
              <w:t>受督者</w:t>
            </w:r>
            <w:r w:rsidRPr="00EB246D">
              <w:rPr>
                <w:rFonts w:ascii="標楷體" w:eastAsia="標楷體" w:hAnsi="標楷體" w:hint="eastAsia"/>
              </w:rPr>
              <w:t>:比較特別</w:t>
            </w:r>
            <w:r w:rsidR="004C27ED">
              <w:rPr>
                <w:rFonts w:ascii="標楷體" w:eastAsia="標楷體" w:hAnsi="標楷體" w:hint="eastAsia"/>
              </w:rPr>
              <w:t>的</w:t>
            </w:r>
            <w:r w:rsidRPr="00EB246D">
              <w:rPr>
                <w:rFonts w:ascii="標楷體" w:eastAsia="標楷體" w:hAnsi="標楷體" w:hint="eastAsia"/>
              </w:rPr>
              <w:t>是要他反擊這件事情是爸爸</w:t>
            </w:r>
            <w:r w:rsidR="00A81C59">
              <w:rPr>
                <w:rFonts w:ascii="標楷體" w:eastAsia="標楷體" w:hAnsi="標楷體" w:hint="eastAsia"/>
              </w:rPr>
              <w:t>說的</w:t>
            </w:r>
            <w:r w:rsidR="004C27ED">
              <w:rPr>
                <w:rFonts w:ascii="標楷體" w:eastAsia="標楷體" w:hAnsi="標楷體" w:hint="eastAsia"/>
              </w:rPr>
              <w:t>。</w:t>
            </w:r>
          </w:p>
        </w:tc>
        <w:tc>
          <w:tcPr>
            <w:tcW w:w="1276" w:type="dxa"/>
            <w:vMerge w:val="restart"/>
          </w:tcPr>
          <w:p w:rsidR="006D40FA" w:rsidRDefault="006D40FA" w:rsidP="000C1FCB">
            <w:pPr>
              <w:jc w:val="both"/>
              <w:rPr>
                <w:rFonts w:ascii="標楷體" w:eastAsia="標楷體" w:hAnsi="標楷體"/>
              </w:rPr>
            </w:pPr>
            <w:r>
              <w:rPr>
                <w:rFonts w:ascii="標楷體" w:eastAsia="標楷體" w:hAnsi="標楷體"/>
              </w:rPr>
              <w:t>督生A</w:t>
            </w:r>
          </w:p>
          <w:p w:rsidR="000C1FCB" w:rsidRDefault="006D40FA" w:rsidP="000C1FCB">
            <w:pPr>
              <w:jc w:val="both"/>
              <w:rPr>
                <w:rFonts w:ascii="標楷體" w:eastAsia="標楷體" w:hAnsi="標楷體"/>
              </w:rPr>
            </w:pPr>
            <w:r>
              <w:rPr>
                <w:rFonts w:ascii="標楷體" w:eastAsia="標楷體" w:hAnsi="標楷體"/>
              </w:rPr>
              <w:t>非沙盤督</w:t>
            </w:r>
          </w:p>
        </w:tc>
      </w:tr>
      <w:tr w:rsidR="000C1FCB" w:rsidTr="00E46291">
        <w:trPr>
          <w:trHeight w:val="128"/>
        </w:trPr>
        <w:tc>
          <w:tcPr>
            <w:tcW w:w="846" w:type="dxa"/>
            <w:vMerge/>
          </w:tcPr>
          <w:p w:rsidR="000C1FCB" w:rsidRPr="00AD07D8" w:rsidRDefault="000C1FCB" w:rsidP="000C1FCB">
            <w:pPr>
              <w:rPr>
                <w:rFonts w:ascii="標楷體" w:eastAsia="標楷體" w:hAnsi="標楷體"/>
              </w:rPr>
            </w:pPr>
          </w:p>
        </w:tc>
        <w:tc>
          <w:tcPr>
            <w:tcW w:w="6662" w:type="dxa"/>
          </w:tcPr>
          <w:p w:rsidR="000C1FCB" w:rsidRDefault="00A81C59" w:rsidP="00A81C59">
            <w:pPr>
              <w:jc w:val="both"/>
              <w:rPr>
                <w:rFonts w:ascii="標楷體" w:eastAsia="標楷體" w:hAnsi="標楷體"/>
              </w:rPr>
            </w:pPr>
            <w:r>
              <w:rPr>
                <w:rFonts w:ascii="標楷體" w:eastAsia="標楷體" w:hAnsi="標楷體" w:hint="eastAsia"/>
              </w:rPr>
              <w:t>督導者：看起來爸媽都一樣要教他保護自己</w:t>
            </w:r>
            <w:r w:rsidRPr="00EB246D">
              <w:rPr>
                <w:rFonts w:ascii="標楷體" w:eastAsia="標楷體" w:hAnsi="標楷體" w:hint="eastAsia"/>
              </w:rPr>
              <w:t>，所以他如果動手打回去的時候，他其實覺得他自己沒有錯的，</w:t>
            </w:r>
            <w:r w:rsidR="009D7B8A">
              <w:rPr>
                <w:rFonts w:ascii="標楷體" w:eastAsia="標楷體" w:hAnsi="標楷體" w:hint="eastAsia"/>
              </w:rPr>
              <w:t>如同</w:t>
            </w:r>
            <w:r>
              <w:rPr>
                <w:rFonts w:ascii="標楷體" w:eastAsia="標楷體" w:hAnsi="標楷體" w:hint="eastAsia"/>
              </w:rPr>
              <w:t>正當防衛。</w:t>
            </w:r>
          </w:p>
        </w:tc>
        <w:tc>
          <w:tcPr>
            <w:tcW w:w="1276" w:type="dxa"/>
            <w:vMerge/>
          </w:tcPr>
          <w:p w:rsidR="000C1FCB" w:rsidRDefault="000C1FCB" w:rsidP="000C1FCB">
            <w:pPr>
              <w:jc w:val="both"/>
              <w:rPr>
                <w:rFonts w:ascii="標楷體" w:eastAsia="標楷體" w:hAnsi="標楷體"/>
              </w:rPr>
            </w:pPr>
          </w:p>
        </w:tc>
      </w:tr>
    </w:tbl>
    <w:p w:rsidR="00C82B31" w:rsidRDefault="00C82B31" w:rsidP="00C262D1">
      <w:pPr>
        <w:jc w:val="both"/>
        <w:rPr>
          <w:rFonts w:ascii="標楷體" w:eastAsia="標楷體" w:hAnsi="標楷體"/>
        </w:rPr>
      </w:pPr>
    </w:p>
    <w:p w:rsidR="00C6002D" w:rsidRPr="00AD07D8" w:rsidRDefault="00C6002D" w:rsidP="00C262D1">
      <w:pPr>
        <w:jc w:val="both"/>
        <w:rPr>
          <w:rFonts w:ascii="標楷體" w:eastAsia="標楷體" w:hAnsi="標楷體"/>
        </w:rPr>
      </w:pPr>
      <w:r>
        <w:rPr>
          <w:rFonts w:ascii="標楷體" w:eastAsia="標楷體" w:hAnsi="標楷體" w:hint="eastAsia"/>
        </w:rPr>
        <w:t>下表為七眼督導中七種模式</w:t>
      </w:r>
      <w:r w:rsidR="004E06E3">
        <w:rPr>
          <w:rFonts w:ascii="標楷體" w:eastAsia="標楷體" w:hAnsi="標楷體" w:hint="eastAsia"/>
        </w:rPr>
        <w:t>之</w:t>
      </w:r>
      <w:r>
        <w:rPr>
          <w:rFonts w:ascii="標楷體" w:eastAsia="標楷體" w:hAnsi="標楷體" w:hint="eastAsia"/>
        </w:rPr>
        <w:t>百分比</w:t>
      </w:r>
    </w:p>
    <w:tbl>
      <w:tblPr>
        <w:tblStyle w:val="a8"/>
        <w:tblW w:w="8725" w:type="dxa"/>
        <w:tblLook w:val="04A0" w:firstRow="1" w:lastRow="0" w:firstColumn="1" w:lastColumn="0" w:noHBand="0" w:noVBand="1"/>
      </w:tblPr>
      <w:tblGrid>
        <w:gridCol w:w="1271"/>
        <w:gridCol w:w="1863"/>
        <w:gridCol w:w="1864"/>
        <w:gridCol w:w="1863"/>
        <w:gridCol w:w="1864"/>
      </w:tblGrid>
      <w:tr w:rsidR="0083142E" w:rsidRPr="00AF540A" w:rsidTr="007659FD">
        <w:trPr>
          <w:trHeight w:val="403"/>
        </w:trPr>
        <w:tc>
          <w:tcPr>
            <w:tcW w:w="1271"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七眼督導</w:t>
            </w:r>
          </w:p>
        </w:tc>
        <w:tc>
          <w:tcPr>
            <w:tcW w:w="1863" w:type="dxa"/>
          </w:tcPr>
          <w:p w:rsidR="0083142E" w:rsidRPr="00AF540A" w:rsidRDefault="0083142E" w:rsidP="00C262D1">
            <w:pPr>
              <w:jc w:val="both"/>
              <w:rPr>
                <w:rFonts w:ascii="標楷體" w:eastAsia="標楷體" w:hAnsi="標楷體"/>
              </w:rPr>
            </w:pPr>
            <w:r w:rsidRPr="00AF540A">
              <w:rPr>
                <w:rFonts w:ascii="標楷體" w:eastAsia="標楷體" w:hAnsi="標楷體"/>
              </w:rPr>
              <w:t>A沙盤比</w:t>
            </w:r>
            <w:r w:rsidRPr="00AF540A">
              <w:rPr>
                <w:rFonts w:ascii="標楷體" w:eastAsia="標楷體" w:hAnsi="標楷體" w:hint="eastAsia"/>
              </w:rPr>
              <w:t>例%</w:t>
            </w:r>
          </w:p>
        </w:tc>
        <w:tc>
          <w:tcPr>
            <w:tcW w:w="1864"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A非沙盤比例%</w:t>
            </w:r>
          </w:p>
        </w:tc>
        <w:tc>
          <w:tcPr>
            <w:tcW w:w="1863"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B沙盤比例%</w:t>
            </w:r>
          </w:p>
        </w:tc>
        <w:tc>
          <w:tcPr>
            <w:tcW w:w="1864"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B非沙盤比例%</w:t>
            </w:r>
          </w:p>
        </w:tc>
      </w:tr>
      <w:tr w:rsidR="0083142E" w:rsidRPr="0018539E" w:rsidTr="007659FD">
        <w:trPr>
          <w:trHeight w:val="412"/>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rPr>
              <w:t>Eye 1</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9.9</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3.2</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2.9</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8.8</w:t>
            </w:r>
          </w:p>
        </w:tc>
      </w:tr>
      <w:tr w:rsidR="0083142E" w:rsidRPr="0018539E" w:rsidTr="007659FD">
        <w:trPr>
          <w:trHeight w:val="403"/>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E</w:t>
            </w:r>
            <w:r w:rsidRPr="0018539E">
              <w:rPr>
                <w:rFonts w:ascii="標楷體" w:eastAsia="標楷體" w:hAnsi="標楷體"/>
              </w:rPr>
              <w:t xml:space="preserve">ye </w:t>
            </w:r>
            <w:r w:rsidRPr="0018539E">
              <w:rPr>
                <w:rFonts w:ascii="標楷體" w:eastAsia="標楷體" w:hAnsi="標楷體" w:hint="eastAsia"/>
              </w:rPr>
              <w:t>2</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3</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8</w:t>
            </w:r>
            <w:r w:rsidRPr="0018539E">
              <w:rPr>
                <w:rFonts w:ascii="標楷體" w:eastAsia="標楷體" w:hAnsi="標楷體"/>
              </w:rPr>
              <w:t>.5</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7.1</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0</w:t>
            </w:r>
          </w:p>
        </w:tc>
      </w:tr>
      <w:tr w:rsidR="0083142E" w:rsidRPr="0018539E" w:rsidTr="007659FD">
        <w:trPr>
          <w:trHeight w:val="403"/>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E</w:t>
            </w:r>
            <w:r w:rsidRPr="0018539E">
              <w:rPr>
                <w:rFonts w:ascii="標楷體" w:eastAsia="標楷體" w:hAnsi="標楷體"/>
              </w:rPr>
              <w:t>ye 3</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5</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4</w:t>
            </w:r>
            <w:r w:rsidRPr="0018539E">
              <w:rPr>
                <w:rFonts w:ascii="標楷體" w:eastAsia="標楷體" w:hAnsi="標楷體"/>
              </w:rPr>
              <w:t>.9</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.9</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3.8</w:t>
            </w:r>
          </w:p>
        </w:tc>
      </w:tr>
      <w:tr w:rsidR="0083142E" w:rsidRPr="0018539E" w:rsidTr="007659FD">
        <w:trPr>
          <w:trHeight w:val="412"/>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lastRenderedPageBreak/>
              <w:t>E</w:t>
            </w:r>
            <w:r w:rsidRPr="0018539E">
              <w:rPr>
                <w:rFonts w:ascii="標楷體" w:eastAsia="標楷體" w:hAnsi="標楷體"/>
              </w:rPr>
              <w:t>ye 4</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9</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rPr>
              <w:t>29.9</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3</w:t>
            </w:r>
            <w:r w:rsidRPr="0018539E">
              <w:rPr>
                <w:rFonts w:ascii="標楷體" w:eastAsia="標楷體" w:hAnsi="標楷體"/>
              </w:rPr>
              <w:t>4.3</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6.2</w:t>
            </w:r>
          </w:p>
        </w:tc>
      </w:tr>
      <w:tr w:rsidR="0083142E" w:rsidRPr="0018539E" w:rsidTr="007659FD">
        <w:trPr>
          <w:trHeight w:val="403"/>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E</w:t>
            </w:r>
            <w:r w:rsidRPr="0018539E">
              <w:rPr>
                <w:rFonts w:ascii="標楷體" w:eastAsia="標楷體" w:hAnsi="標楷體"/>
              </w:rPr>
              <w:t>ye 5</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5</w:t>
            </w:r>
            <w:r w:rsidRPr="0018539E">
              <w:rPr>
                <w:rFonts w:ascii="標楷體" w:eastAsia="標楷體" w:hAnsi="標楷體"/>
              </w:rPr>
              <w:t>.5</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.9</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3</w:t>
            </w:r>
            <w:r w:rsidRPr="0018539E">
              <w:rPr>
                <w:rFonts w:ascii="標楷體" w:eastAsia="標楷體" w:hAnsi="標楷體"/>
              </w:rPr>
              <w:t>.8</w:t>
            </w:r>
          </w:p>
        </w:tc>
      </w:tr>
      <w:tr w:rsidR="0083142E" w:rsidRPr="00AF540A" w:rsidTr="007659FD">
        <w:trPr>
          <w:trHeight w:val="403"/>
        </w:trPr>
        <w:tc>
          <w:tcPr>
            <w:tcW w:w="1271"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E</w:t>
            </w:r>
            <w:r w:rsidRPr="0018539E">
              <w:rPr>
                <w:rFonts w:ascii="標楷體" w:eastAsia="標楷體" w:hAnsi="標楷體"/>
              </w:rPr>
              <w:t>ye 6</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1</w:t>
            </w:r>
            <w:r w:rsidRPr="0018539E">
              <w:rPr>
                <w:rFonts w:ascii="標楷體" w:eastAsia="標楷體" w:hAnsi="標楷體"/>
              </w:rPr>
              <w:t>8</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5.6</w:t>
            </w:r>
          </w:p>
        </w:tc>
        <w:tc>
          <w:tcPr>
            <w:tcW w:w="1863"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5.7</w:t>
            </w:r>
          </w:p>
        </w:tc>
        <w:tc>
          <w:tcPr>
            <w:tcW w:w="1864" w:type="dxa"/>
          </w:tcPr>
          <w:p w:rsidR="0083142E" w:rsidRPr="0018539E" w:rsidRDefault="0083142E" w:rsidP="00C262D1">
            <w:pPr>
              <w:jc w:val="both"/>
              <w:rPr>
                <w:rFonts w:ascii="標楷體" w:eastAsia="標楷體" w:hAnsi="標楷體"/>
              </w:rPr>
            </w:pPr>
            <w:r w:rsidRPr="0018539E">
              <w:rPr>
                <w:rFonts w:ascii="標楷體" w:eastAsia="標楷體" w:hAnsi="標楷體" w:hint="eastAsia"/>
              </w:rPr>
              <w:t>2</w:t>
            </w:r>
            <w:r w:rsidRPr="0018539E">
              <w:rPr>
                <w:rFonts w:ascii="標楷體" w:eastAsia="標楷體" w:hAnsi="標楷體"/>
              </w:rPr>
              <w:t>1.2</w:t>
            </w:r>
          </w:p>
        </w:tc>
      </w:tr>
      <w:tr w:rsidR="0083142E" w:rsidRPr="00AD07D8" w:rsidTr="007659FD">
        <w:trPr>
          <w:trHeight w:val="412"/>
        </w:trPr>
        <w:tc>
          <w:tcPr>
            <w:tcW w:w="1271"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E</w:t>
            </w:r>
            <w:r w:rsidRPr="00AF540A">
              <w:rPr>
                <w:rFonts w:ascii="標楷體" w:eastAsia="標楷體" w:hAnsi="標楷體"/>
              </w:rPr>
              <w:t>ye 7</w:t>
            </w:r>
          </w:p>
        </w:tc>
        <w:tc>
          <w:tcPr>
            <w:tcW w:w="1863"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3</w:t>
            </w:r>
            <w:r w:rsidRPr="00AF540A">
              <w:rPr>
                <w:rFonts w:ascii="標楷體" w:eastAsia="標楷體" w:hAnsi="標楷體"/>
              </w:rPr>
              <w:t>.1</w:t>
            </w:r>
          </w:p>
        </w:tc>
        <w:tc>
          <w:tcPr>
            <w:tcW w:w="1864"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2</w:t>
            </w:r>
            <w:r w:rsidRPr="00AF540A">
              <w:rPr>
                <w:rFonts w:ascii="標楷體" w:eastAsia="標楷體" w:hAnsi="標楷體"/>
              </w:rPr>
              <w:t>.4</w:t>
            </w:r>
          </w:p>
        </w:tc>
        <w:tc>
          <w:tcPr>
            <w:tcW w:w="1863"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4</w:t>
            </w:r>
            <w:r w:rsidRPr="00AF540A">
              <w:rPr>
                <w:rFonts w:ascii="標楷體" w:eastAsia="標楷體" w:hAnsi="標楷體"/>
              </w:rPr>
              <w:t>.3</w:t>
            </w:r>
          </w:p>
        </w:tc>
        <w:tc>
          <w:tcPr>
            <w:tcW w:w="1864" w:type="dxa"/>
          </w:tcPr>
          <w:p w:rsidR="0083142E" w:rsidRPr="00AF540A" w:rsidRDefault="0083142E" w:rsidP="00C262D1">
            <w:pPr>
              <w:jc w:val="both"/>
              <w:rPr>
                <w:rFonts w:ascii="標楷體" w:eastAsia="標楷體" w:hAnsi="標楷體"/>
              </w:rPr>
            </w:pPr>
            <w:r w:rsidRPr="00AF540A">
              <w:rPr>
                <w:rFonts w:ascii="標楷體" w:eastAsia="標楷體" w:hAnsi="標楷體" w:hint="eastAsia"/>
              </w:rPr>
              <w:t>6</w:t>
            </w:r>
            <w:r w:rsidRPr="00AF540A">
              <w:rPr>
                <w:rFonts w:ascii="標楷體" w:eastAsia="標楷體" w:hAnsi="標楷體"/>
              </w:rPr>
              <w:t>.2</w:t>
            </w:r>
          </w:p>
        </w:tc>
      </w:tr>
    </w:tbl>
    <w:p w:rsidR="0083142E" w:rsidRPr="008F019F" w:rsidRDefault="008F019F" w:rsidP="00C262D1">
      <w:pPr>
        <w:jc w:val="both"/>
        <w:rPr>
          <w:rFonts w:ascii="標楷體" w:eastAsia="標楷體" w:hAnsi="標楷體"/>
          <w:b/>
        </w:rPr>
      </w:pPr>
      <w:r w:rsidRPr="008F019F">
        <w:rPr>
          <w:rFonts w:ascii="標楷體" w:eastAsia="標楷體" w:hAnsi="標楷體" w:hint="eastAsia"/>
          <w:b/>
        </w:rPr>
        <w:t>二、督導者主觀感受獲益之處</w:t>
      </w:r>
    </w:p>
    <w:p w:rsidR="008F019F" w:rsidRPr="008F019F" w:rsidRDefault="008F019F" w:rsidP="008F019F">
      <w:pPr>
        <w:jc w:val="both"/>
        <w:rPr>
          <w:rFonts w:ascii="標楷體" w:eastAsia="標楷體" w:hAnsi="標楷體"/>
        </w:rPr>
      </w:pPr>
      <w:r>
        <w:rPr>
          <w:rFonts w:ascii="標楷體" w:eastAsia="標楷體" w:hAnsi="標楷體" w:hint="eastAsia"/>
        </w:rPr>
        <w:t>(一)</w:t>
      </w:r>
      <w:r w:rsidRPr="008F019F">
        <w:rPr>
          <w:rFonts w:ascii="標楷體" w:eastAsia="標楷體" w:hAnsi="標楷體" w:hint="eastAsia"/>
        </w:rPr>
        <w:t>沙盤督導的經驗與感受</w:t>
      </w:r>
    </w:p>
    <w:p w:rsidR="008F019F" w:rsidRPr="008F019F" w:rsidRDefault="008F019F" w:rsidP="008F019F">
      <w:pPr>
        <w:jc w:val="both"/>
        <w:rPr>
          <w:rFonts w:ascii="標楷體" w:eastAsia="標楷體" w:hAnsi="標楷體"/>
        </w:rPr>
      </w:pPr>
      <w:r w:rsidRPr="008F019F">
        <w:rPr>
          <w:rFonts w:ascii="標楷體" w:eastAsia="標楷體" w:hAnsi="標楷體" w:hint="eastAsia"/>
        </w:rPr>
        <w:t>1. 具象化個案理解</w:t>
      </w:r>
    </w:p>
    <w:p w:rsidR="008F019F" w:rsidRPr="008F019F" w:rsidRDefault="008F019F" w:rsidP="008F019F">
      <w:pPr>
        <w:jc w:val="both"/>
        <w:rPr>
          <w:rFonts w:ascii="標楷體" w:eastAsia="標楷體" w:hAnsi="標楷體"/>
        </w:rPr>
      </w:pPr>
      <w:r>
        <w:rPr>
          <w:rFonts w:ascii="標楷體" w:eastAsia="標楷體" w:hAnsi="標楷體" w:hint="eastAsia"/>
        </w:rPr>
        <w:t xml:space="preserve">    督生覺得使用沙盤有助於</w:t>
      </w:r>
      <w:r w:rsidRPr="008F019F">
        <w:rPr>
          <w:rFonts w:ascii="標楷體" w:eastAsia="標楷體" w:hAnsi="標楷體" w:hint="eastAsia"/>
        </w:rPr>
        <w:t>更具象化的理解個案的主訴問題、其人際互動，以及處在系統中的狀態。透過選擇物件，以及擺放物件的位置、相互距離等等，我可以更容易把內心中對個案隱微的想法表達出來。</w:t>
      </w:r>
    </w:p>
    <w:p w:rsidR="008F019F" w:rsidRPr="008F019F" w:rsidRDefault="008F019F" w:rsidP="008F019F">
      <w:pPr>
        <w:jc w:val="both"/>
        <w:rPr>
          <w:rFonts w:ascii="標楷體" w:eastAsia="標楷體" w:hAnsi="標楷體"/>
        </w:rPr>
      </w:pPr>
      <w:r w:rsidRPr="008F019F">
        <w:rPr>
          <w:rFonts w:ascii="標楷體" w:eastAsia="標楷體" w:hAnsi="標楷體" w:hint="eastAsia"/>
        </w:rPr>
        <w:t>2. 從直覺到洞察</w:t>
      </w:r>
    </w:p>
    <w:p w:rsidR="008F019F" w:rsidRPr="008F019F" w:rsidRDefault="008F019F" w:rsidP="008F019F">
      <w:pPr>
        <w:jc w:val="both"/>
        <w:rPr>
          <w:rFonts w:ascii="標楷體" w:eastAsia="標楷體" w:hAnsi="標楷體"/>
        </w:rPr>
      </w:pPr>
      <w:r>
        <w:rPr>
          <w:rFonts w:ascii="標楷體" w:eastAsia="標楷體" w:hAnsi="標楷體" w:hint="eastAsia"/>
        </w:rPr>
        <w:t xml:space="preserve">    督生發現，</w:t>
      </w:r>
      <w:r w:rsidRPr="008F019F">
        <w:rPr>
          <w:rFonts w:ascii="標楷體" w:eastAsia="標楷體" w:hAnsi="標楷體" w:hint="eastAsia"/>
        </w:rPr>
        <w:t>擺設物件時僅是依靠直覺，但在解讀與詮釋自己的擺設時，常常在不斷反思與揣摩的過程中而得到新的洞察。</w:t>
      </w:r>
    </w:p>
    <w:p w:rsidR="008F019F" w:rsidRPr="008F019F" w:rsidRDefault="008F019F" w:rsidP="008F019F">
      <w:pPr>
        <w:jc w:val="both"/>
        <w:rPr>
          <w:rFonts w:ascii="標楷體" w:eastAsia="標楷體" w:hAnsi="標楷體"/>
        </w:rPr>
      </w:pPr>
      <w:r w:rsidRPr="008F019F">
        <w:rPr>
          <w:rFonts w:ascii="標楷體" w:eastAsia="標楷體" w:hAnsi="標楷體" w:hint="eastAsia"/>
        </w:rPr>
        <w:t>3. 物件象徵助於理解個案</w:t>
      </w:r>
    </w:p>
    <w:p w:rsidR="008F019F" w:rsidRPr="008F019F" w:rsidRDefault="008F019F" w:rsidP="008F019F">
      <w:pPr>
        <w:jc w:val="both"/>
        <w:rPr>
          <w:rFonts w:ascii="標楷體" w:eastAsia="標楷體" w:hAnsi="標楷體"/>
        </w:rPr>
      </w:pPr>
      <w:r>
        <w:rPr>
          <w:rFonts w:ascii="標楷體" w:eastAsia="標楷體" w:hAnsi="標楷體" w:hint="eastAsia"/>
        </w:rPr>
        <w:t xml:space="preserve">    督生陳述一個特別的感受是，物件本身具有的特質，能夠幫助其</w:t>
      </w:r>
      <w:r w:rsidRPr="008F019F">
        <w:rPr>
          <w:rFonts w:ascii="標楷體" w:eastAsia="標楷體" w:hAnsi="標楷體" w:hint="eastAsia"/>
        </w:rPr>
        <w:t>擴充對個案的理解。</w:t>
      </w:r>
      <w:r>
        <w:rPr>
          <w:rFonts w:ascii="標楷體" w:eastAsia="標楷體" w:hAnsi="標楷體" w:hint="eastAsia"/>
        </w:rPr>
        <w:t>例如，</w:t>
      </w:r>
      <w:r w:rsidRPr="008F019F">
        <w:rPr>
          <w:rFonts w:ascii="標楷體" w:eastAsia="標楷體" w:hAnsi="標楷體" w:hint="eastAsia"/>
        </w:rPr>
        <w:t>選擇小狗代表個案，那對於狗的可愛、忠誠、信任、沒有心機等等聯想能夠豐富我對個案的認識。</w:t>
      </w:r>
    </w:p>
    <w:p w:rsidR="008F019F" w:rsidRPr="008F019F" w:rsidRDefault="008F019F" w:rsidP="008F019F">
      <w:pPr>
        <w:jc w:val="both"/>
        <w:rPr>
          <w:rFonts w:ascii="標楷體" w:eastAsia="標楷體" w:hAnsi="標楷體"/>
        </w:rPr>
      </w:pPr>
      <w:r w:rsidRPr="008F019F">
        <w:rPr>
          <w:rFonts w:ascii="標楷體" w:eastAsia="標楷體" w:hAnsi="標楷體" w:hint="eastAsia"/>
        </w:rPr>
        <w:t>4. 客觀視角與細節觀察</w:t>
      </w:r>
    </w:p>
    <w:p w:rsidR="008F019F" w:rsidRPr="008F019F" w:rsidRDefault="008F019F" w:rsidP="008F019F">
      <w:pPr>
        <w:jc w:val="both"/>
        <w:rPr>
          <w:rFonts w:ascii="標楷體" w:eastAsia="標楷體" w:hAnsi="標楷體"/>
        </w:rPr>
      </w:pPr>
      <w:r>
        <w:rPr>
          <w:rFonts w:ascii="標楷體" w:eastAsia="標楷體" w:hAnsi="標楷體" w:hint="eastAsia"/>
        </w:rPr>
        <w:t xml:space="preserve">    督生認為運用沙盤討論能使其</w:t>
      </w:r>
      <w:r w:rsidRPr="008F019F">
        <w:rPr>
          <w:rFonts w:ascii="標楷體" w:eastAsia="標楷體" w:hAnsi="標楷體" w:hint="eastAsia"/>
        </w:rPr>
        <w:t>從事件中拉出，用一個較客觀的視角來看待整體事件，</w:t>
      </w:r>
      <w:r>
        <w:rPr>
          <w:rFonts w:ascii="標楷體" w:eastAsia="標楷體" w:hAnsi="標楷體" w:hint="eastAsia"/>
        </w:rPr>
        <w:t>可以讓我的視角更加全面，注意到那些原本被</w:t>
      </w:r>
      <w:r w:rsidRPr="008F019F">
        <w:rPr>
          <w:rFonts w:ascii="標楷體" w:eastAsia="標楷體" w:hAnsi="標楷體" w:hint="eastAsia"/>
        </w:rPr>
        <w:t>忽略的細節。</w:t>
      </w:r>
    </w:p>
    <w:p w:rsidR="008F019F" w:rsidRPr="008F019F" w:rsidRDefault="00102744" w:rsidP="008F019F">
      <w:pPr>
        <w:jc w:val="both"/>
        <w:rPr>
          <w:rFonts w:ascii="標楷體" w:eastAsia="標楷體" w:hAnsi="標楷體"/>
        </w:rPr>
      </w:pPr>
      <w:r>
        <w:rPr>
          <w:rFonts w:ascii="標楷體" w:eastAsia="標楷體" w:hAnsi="標楷體" w:hint="eastAsia"/>
        </w:rPr>
        <w:t>(二)</w:t>
      </w:r>
      <w:r w:rsidR="008F019F" w:rsidRPr="008F019F">
        <w:rPr>
          <w:rFonts w:ascii="標楷體" w:eastAsia="標楷體" w:hAnsi="標楷體" w:hint="eastAsia"/>
        </w:rPr>
        <w:t>非沙盤督導的經驗與感受</w:t>
      </w:r>
    </w:p>
    <w:p w:rsidR="008F019F" w:rsidRPr="008F019F" w:rsidRDefault="008F019F" w:rsidP="008F019F">
      <w:pPr>
        <w:jc w:val="both"/>
        <w:rPr>
          <w:rFonts w:ascii="標楷體" w:eastAsia="標楷體" w:hAnsi="標楷體"/>
        </w:rPr>
      </w:pPr>
      <w:r w:rsidRPr="008F019F">
        <w:rPr>
          <w:rFonts w:ascii="標楷體" w:eastAsia="標楷體" w:hAnsi="標楷體" w:hint="eastAsia"/>
        </w:rPr>
        <w:t>1. 歷程性的督導學習</w:t>
      </w:r>
    </w:p>
    <w:p w:rsidR="00237AF7" w:rsidRDefault="00102744" w:rsidP="008F019F">
      <w:pPr>
        <w:jc w:val="both"/>
        <w:rPr>
          <w:rFonts w:ascii="標楷體" w:eastAsia="標楷體" w:hAnsi="標楷體"/>
        </w:rPr>
      </w:pPr>
      <w:r>
        <w:rPr>
          <w:rFonts w:ascii="標楷體" w:eastAsia="標楷體" w:hAnsi="標楷體" w:hint="eastAsia"/>
        </w:rPr>
        <w:t xml:space="preserve">    </w:t>
      </w:r>
      <w:r w:rsidR="00237AF7">
        <w:rPr>
          <w:rFonts w:ascii="標楷體" w:eastAsia="標楷體" w:hAnsi="標楷體" w:hint="eastAsia"/>
        </w:rPr>
        <w:t>督生認為</w:t>
      </w:r>
      <w:r w:rsidR="008F019F" w:rsidRPr="008F019F">
        <w:rPr>
          <w:rFonts w:ascii="標楷體" w:eastAsia="標楷體" w:hAnsi="標楷體" w:hint="eastAsia"/>
        </w:rPr>
        <w:t>若使用口語督導，比較接近歷程性的討論。</w:t>
      </w:r>
      <w:r w:rsidR="00237AF7">
        <w:rPr>
          <w:rFonts w:ascii="標楷體" w:eastAsia="標楷體" w:hAnsi="標楷體" w:hint="eastAsia"/>
        </w:rPr>
        <w:t>在口語督導的過程中，</w:t>
      </w:r>
      <w:r w:rsidR="008F019F" w:rsidRPr="008F019F">
        <w:rPr>
          <w:rFonts w:ascii="標楷體" w:eastAsia="標楷體" w:hAnsi="標楷體" w:hint="eastAsia"/>
        </w:rPr>
        <w:t>印象較深刻的是在一次使用角色扮演時，先由督導扮演個案</w:t>
      </w:r>
      <w:r w:rsidR="00237AF7">
        <w:rPr>
          <w:rFonts w:ascii="標楷體" w:eastAsia="標楷體" w:hAnsi="標楷體" w:hint="eastAsia"/>
        </w:rPr>
        <w:t>，督生</w:t>
      </w:r>
      <w:r w:rsidR="008F019F" w:rsidRPr="008F019F">
        <w:rPr>
          <w:rFonts w:ascii="標楷體" w:eastAsia="標楷體" w:hAnsi="標楷體" w:hint="eastAsia"/>
        </w:rPr>
        <w:t>進行諮商，接著再進行角色交換。</w:t>
      </w:r>
    </w:p>
    <w:p w:rsidR="008F019F" w:rsidRPr="008F019F" w:rsidRDefault="008F019F" w:rsidP="008F019F">
      <w:pPr>
        <w:jc w:val="both"/>
        <w:rPr>
          <w:rFonts w:ascii="標楷體" w:eastAsia="標楷體" w:hAnsi="標楷體"/>
        </w:rPr>
      </w:pPr>
      <w:r w:rsidRPr="008F019F">
        <w:rPr>
          <w:rFonts w:ascii="標楷體" w:eastAsia="標楷體" w:hAnsi="標楷體" w:hint="eastAsia"/>
        </w:rPr>
        <w:t>2. 揣摩個案的情緒經驗</w:t>
      </w:r>
    </w:p>
    <w:p w:rsidR="008F019F" w:rsidRPr="008F019F" w:rsidRDefault="00237AF7" w:rsidP="008F019F">
      <w:pPr>
        <w:jc w:val="both"/>
        <w:rPr>
          <w:rFonts w:ascii="標楷體" w:eastAsia="標楷體" w:hAnsi="標楷體"/>
        </w:rPr>
      </w:pPr>
      <w:r>
        <w:rPr>
          <w:rFonts w:ascii="標楷體" w:eastAsia="標楷體" w:hAnsi="標楷體" w:hint="eastAsia"/>
        </w:rPr>
        <w:t xml:space="preserve">    督生在角色扮演中看到了自己的介入方向與脈絡與督導的差異，而可以學習到督導如何將督生</w:t>
      </w:r>
      <w:r w:rsidRPr="008F019F">
        <w:rPr>
          <w:rFonts w:ascii="標楷體" w:eastAsia="標楷體" w:hAnsi="標楷體" w:hint="eastAsia"/>
        </w:rPr>
        <w:t>的介入意圖以更符合當下脈絡的方式呈現。</w:t>
      </w:r>
      <w:r>
        <w:rPr>
          <w:rFonts w:ascii="標楷體" w:eastAsia="標楷體" w:hAnsi="標楷體" w:hint="eastAsia"/>
        </w:rPr>
        <w:t>透過自己扮演個案的同時，</w:t>
      </w:r>
      <w:r w:rsidR="008F019F" w:rsidRPr="008F019F">
        <w:rPr>
          <w:rFonts w:ascii="標楷體" w:eastAsia="標楷體" w:hAnsi="標楷體" w:hint="eastAsia"/>
        </w:rPr>
        <w:t>揣摩個案可能會得到的情緒經驗，也讓我更清楚站在個案的角度在面對我的介入時會有什麼反應。</w:t>
      </w:r>
    </w:p>
    <w:p w:rsidR="008F019F" w:rsidRPr="008F019F" w:rsidRDefault="00237AF7" w:rsidP="008F019F">
      <w:pPr>
        <w:jc w:val="both"/>
        <w:rPr>
          <w:rFonts w:ascii="標楷體" w:eastAsia="標楷體" w:hAnsi="標楷體"/>
        </w:rPr>
      </w:pPr>
      <w:r>
        <w:rPr>
          <w:rFonts w:ascii="標楷體" w:eastAsia="標楷體" w:hAnsi="標楷體" w:hint="eastAsia"/>
        </w:rPr>
        <w:t>(三)</w:t>
      </w:r>
      <w:r w:rsidR="008F019F" w:rsidRPr="008F019F">
        <w:rPr>
          <w:rFonts w:ascii="標楷體" w:eastAsia="標楷體" w:hAnsi="標楷體" w:hint="eastAsia"/>
        </w:rPr>
        <w:t>對督導實務設計的想法與建議</w:t>
      </w:r>
    </w:p>
    <w:p w:rsidR="008F019F" w:rsidRPr="008F019F" w:rsidRDefault="008F019F" w:rsidP="008F019F">
      <w:pPr>
        <w:jc w:val="both"/>
        <w:rPr>
          <w:rFonts w:ascii="標楷體" w:eastAsia="標楷體" w:hAnsi="標楷體"/>
        </w:rPr>
      </w:pPr>
      <w:r w:rsidRPr="008F019F">
        <w:rPr>
          <w:rFonts w:ascii="標楷體" w:eastAsia="標楷體" w:hAnsi="標楷體" w:hint="eastAsia"/>
        </w:rPr>
        <w:t>1. 沙盤適合新手概念化</w:t>
      </w:r>
    </w:p>
    <w:p w:rsidR="008F019F" w:rsidRPr="008F019F" w:rsidRDefault="00237AF7" w:rsidP="008F019F">
      <w:pPr>
        <w:jc w:val="both"/>
        <w:rPr>
          <w:rFonts w:ascii="標楷體" w:eastAsia="標楷體" w:hAnsi="標楷體"/>
        </w:rPr>
      </w:pPr>
      <w:r>
        <w:rPr>
          <w:rFonts w:ascii="標楷體" w:eastAsia="標楷體" w:hAnsi="標楷體" w:hint="eastAsia"/>
        </w:rPr>
        <w:t xml:space="preserve">    督生覺得使用沙遊是一個很新奇的體驗，對於一個諮商新手說，這個過程使其</w:t>
      </w:r>
      <w:r w:rsidR="008F019F" w:rsidRPr="008F019F">
        <w:rPr>
          <w:rFonts w:ascii="標楷體" w:eastAsia="標楷體" w:hAnsi="標楷體" w:hint="eastAsia"/>
        </w:rPr>
        <w:t>對個案的整體理解與概念化都有很大的幫助。</w:t>
      </w:r>
    </w:p>
    <w:p w:rsidR="008F019F" w:rsidRPr="008F019F" w:rsidRDefault="008F019F" w:rsidP="008F019F">
      <w:pPr>
        <w:jc w:val="both"/>
        <w:rPr>
          <w:rFonts w:ascii="標楷體" w:eastAsia="標楷體" w:hAnsi="標楷體"/>
        </w:rPr>
      </w:pPr>
      <w:r w:rsidRPr="008F019F">
        <w:rPr>
          <w:rFonts w:ascii="標楷體" w:eastAsia="標楷體" w:hAnsi="標楷體" w:hint="eastAsia"/>
        </w:rPr>
        <w:t>2. 希望沙盤也能延伸至歷程討論</w:t>
      </w:r>
    </w:p>
    <w:p w:rsidR="008F019F" w:rsidRPr="008F019F" w:rsidRDefault="00237AF7" w:rsidP="008F019F">
      <w:pPr>
        <w:jc w:val="both"/>
        <w:rPr>
          <w:rFonts w:ascii="標楷體" w:eastAsia="標楷體" w:hAnsi="標楷體"/>
        </w:rPr>
      </w:pPr>
      <w:r>
        <w:rPr>
          <w:rFonts w:ascii="標楷體" w:eastAsia="標楷體" w:hAnsi="標楷體" w:hint="eastAsia"/>
        </w:rPr>
        <w:t xml:space="preserve">    這幾次</w:t>
      </w:r>
      <w:r w:rsidR="008F019F" w:rsidRPr="008F019F">
        <w:rPr>
          <w:rFonts w:ascii="標楷體" w:eastAsia="標楷體" w:hAnsi="標楷體" w:hint="eastAsia"/>
        </w:rPr>
        <w:t>沙遊督導比較偏向對個案狀態與主訴整體性的探索，而較少諮商歷程上的討論。</w:t>
      </w:r>
      <w:r>
        <w:rPr>
          <w:rFonts w:ascii="標楷體" w:eastAsia="標楷體" w:hAnsi="標楷體" w:hint="eastAsia"/>
        </w:rPr>
        <w:t>新手專輔在</w:t>
      </w:r>
      <w:r w:rsidR="008F019F" w:rsidRPr="008F019F">
        <w:rPr>
          <w:rFonts w:ascii="標楷體" w:eastAsia="標楷體" w:hAnsi="標楷體" w:hint="eastAsia"/>
        </w:rPr>
        <w:t>諮商歷程中的各種介入，決策以及想法也有許多的徬徨，若能在</w:t>
      </w:r>
      <w:r>
        <w:rPr>
          <w:rFonts w:ascii="標楷體" w:eastAsia="標楷體" w:hAnsi="標楷體" w:hint="eastAsia"/>
        </w:rPr>
        <w:t>沙盤</w:t>
      </w:r>
      <w:r w:rsidR="008F019F" w:rsidRPr="008F019F">
        <w:rPr>
          <w:rFonts w:ascii="標楷體" w:eastAsia="標楷體" w:hAnsi="標楷體" w:hint="eastAsia"/>
        </w:rPr>
        <w:t>督導時在這些方向上獲得更多的指導，</w:t>
      </w:r>
      <w:r>
        <w:rPr>
          <w:rFonts w:ascii="標楷體" w:eastAsia="標楷體" w:hAnsi="標楷體" w:hint="eastAsia"/>
        </w:rPr>
        <w:t>應</w:t>
      </w:r>
      <w:r w:rsidR="008F019F" w:rsidRPr="008F019F">
        <w:rPr>
          <w:rFonts w:ascii="標楷體" w:eastAsia="標楷體" w:hAnsi="標楷體" w:hint="eastAsia"/>
        </w:rPr>
        <w:t>有很大的幫助。</w:t>
      </w:r>
    </w:p>
    <w:p w:rsidR="005C1543" w:rsidRDefault="004E06E3" w:rsidP="00CC63C5">
      <w:pPr>
        <w:jc w:val="both"/>
        <w:rPr>
          <w:rFonts w:ascii="標楷體" w:eastAsia="標楷體" w:hAnsi="標楷體"/>
          <w:b/>
        </w:rPr>
      </w:pPr>
      <w:r w:rsidRPr="00E4260B">
        <w:rPr>
          <w:rFonts w:ascii="標楷體" w:eastAsia="標楷體" w:hAnsi="標楷體" w:hint="eastAsia"/>
          <w:b/>
        </w:rPr>
        <w:lastRenderedPageBreak/>
        <w:t>柒、研究結果與討論</w:t>
      </w:r>
    </w:p>
    <w:p w:rsidR="005C1543" w:rsidRPr="005C1543" w:rsidRDefault="00520AC8" w:rsidP="005C1543">
      <w:pPr>
        <w:jc w:val="both"/>
        <w:rPr>
          <w:rFonts w:ascii="標楷體" w:eastAsia="標楷體" w:hAnsi="標楷體"/>
        </w:rPr>
      </w:pPr>
      <w:r>
        <w:rPr>
          <w:rFonts w:ascii="標楷體" w:eastAsia="標楷體" w:hAnsi="標楷體" w:hint="eastAsia"/>
        </w:rPr>
        <w:t>一、</w:t>
      </w:r>
      <w:r w:rsidR="005C1543" w:rsidRPr="005C1543">
        <w:rPr>
          <w:rFonts w:ascii="標楷體" w:eastAsia="標楷體" w:hAnsi="標楷體"/>
        </w:rPr>
        <w:t>本研究透過七眼督導模型分析兩位新手專任輔導教師（以下簡稱A受督</w:t>
      </w:r>
      <w:r w:rsidR="00AC0EAC">
        <w:rPr>
          <w:rFonts w:ascii="標楷體" w:eastAsia="標楷體" w:hAnsi="標楷體" w:hint="eastAsia"/>
        </w:rPr>
        <w:t>者</w:t>
      </w:r>
      <w:r w:rsidR="005C1543" w:rsidRPr="005C1543">
        <w:rPr>
          <w:rFonts w:ascii="標楷體" w:eastAsia="標楷體" w:hAnsi="標楷體"/>
        </w:rPr>
        <w:t>與B受督</w:t>
      </w:r>
      <w:r w:rsidR="00AC0EAC">
        <w:rPr>
          <w:rFonts w:ascii="標楷體" w:eastAsia="標楷體" w:hAnsi="標楷體" w:hint="eastAsia"/>
        </w:rPr>
        <w:t>者</w:t>
      </w:r>
      <w:r w:rsidR="005C1543" w:rsidRPr="005C1543">
        <w:rPr>
          <w:rFonts w:ascii="標楷體" w:eastAsia="標楷體" w:hAnsi="標楷體"/>
        </w:rPr>
        <w:t>）於沙盤與非沙盤兩種督導歷程中的逐字稿語句，結果如下：</w:t>
      </w:r>
    </w:p>
    <w:p w:rsidR="005C1543" w:rsidRPr="005C1543" w:rsidRDefault="00520AC8" w:rsidP="00520AC8">
      <w:pPr>
        <w:jc w:val="both"/>
        <w:rPr>
          <w:rFonts w:ascii="標楷體" w:eastAsia="標楷體" w:hAnsi="標楷體"/>
        </w:rPr>
      </w:pPr>
      <w:r>
        <w:rPr>
          <w:rFonts w:ascii="標楷體" w:eastAsia="標楷體" w:hAnsi="標楷體" w:hint="eastAsia"/>
          <w:b/>
          <w:bCs/>
        </w:rPr>
        <w:t>(一)</w:t>
      </w:r>
      <w:r w:rsidR="005C1543" w:rsidRPr="005C1543">
        <w:rPr>
          <w:rFonts w:ascii="標楷體" w:eastAsia="標楷體" w:hAnsi="標楷體"/>
          <w:b/>
          <w:bCs/>
        </w:rPr>
        <w:t>整體分布差異</w:t>
      </w:r>
    </w:p>
    <w:p w:rsidR="005C1543" w:rsidRPr="00520AC8" w:rsidRDefault="00520AC8" w:rsidP="00520AC8">
      <w:pPr>
        <w:jc w:val="both"/>
        <w:rPr>
          <w:rFonts w:ascii="標楷體" w:eastAsia="標楷體" w:hAnsi="標楷體"/>
        </w:rPr>
      </w:pPr>
      <w:r w:rsidRPr="00520AC8">
        <w:rPr>
          <w:rFonts w:ascii="標楷體" w:eastAsia="標楷體" w:hAnsi="標楷體"/>
        </w:rPr>
        <w:t xml:space="preserve">1. </w:t>
      </w:r>
      <w:r w:rsidR="005C1543" w:rsidRPr="00520AC8">
        <w:rPr>
          <w:rFonts w:ascii="標楷體" w:eastAsia="標楷體" w:hAnsi="標楷體"/>
        </w:rPr>
        <w:t xml:space="preserve">A受督在沙盤歷程中主要集中於 </w:t>
      </w:r>
      <w:r w:rsidR="005C1543" w:rsidRPr="00520AC8">
        <w:rPr>
          <w:rFonts w:ascii="標楷體" w:eastAsia="標楷體" w:hAnsi="標楷體"/>
          <w:bCs/>
        </w:rPr>
        <w:t>Eye 1（案主焦點，29.9%）、Eye 4（受督者自身，29%）與 Eye 6（督導者自身，18%）</w:t>
      </w:r>
      <w:r w:rsidR="005C1543" w:rsidRPr="00520AC8">
        <w:rPr>
          <w:rFonts w:ascii="標楷體" w:eastAsia="標楷體" w:hAnsi="標楷體"/>
        </w:rPr>
        <w:t>。</w:t>
      </w:r>
    </w:p>
    <w:p w:rsidR="005C1543" w:rsidRPr="00520AC8" w:rsidRDefault="00520AC8" w:rsidP="00520AC8">
      <w:pPr>
        <w:jc w:val="both"/>
        <w:rPr>
          <w:rFonts w:ascii="標楷體" w:eastAsia="標楷體" w:hAnsi="標楷體"/>
        </w:rPr>
      </w:pPr>
      <w:r w:rsidRPr="00520AC8">
        <w:rPr>
          <w:rFonts w:ascii="標楷體" w:eastAsia="標楷體" w:hAnsi="標楷體"/>
        </w:rPr>
        <w:t xml:space="preserve">2. </w:t>
      </w:r>
      <w:r w:rsidR="005C1543" w:rsidRPr="00520AC8">
        <w:rPr>
          <w:rFonts w:ascii="標楷體" w:eastAsia="標楷體" w:hAnsi="標楷體"/>
        </w:rPr>
        <w:t xml:space="preserve">B受督在沙盤歷程中則以 </w:t>
      </w:r>
      <w:r w:rsidR="005C1543" w:rsidRPr="00520AC8">
        <w:rPr>
          <w:rFonts w:ascii="標楷體" w:eastAsia="標楷體" w:hAnsi="標楷體"/>
          <w:bCs/>
        </w:rPr>
        <w:t>Eye 4（34.3%）、Eye 6（25.7%）與 Eye 2（介入策略，17.1%）</w:t>
      </w:r>
      <w:r w:rsidR="005C1543" w:rsidRPr="00520AC8">
        <w:rPr>
          <w:rFonts w:ascii="標楷體" w:eastAsia="標楷體" w:hAnsi="標楷體"/>
        </w:rPr>
        <w:t xml:space="preserve"> 為最高比例。</w:t>
      </w:r>
    </w:p>
    <w:p w:rsidR="005C1543" w:rsidRPr="00520AC8" w:rsidRDefault="00520AC8" w:rsidP="00520AC8">
      <w:pPr>
        <w:jc w:val="both"/>
        <w:rPr>
          <w:rFonts w:ascii="標楷體" w:eastAsia="標楷體" w:hAnsi="標楷體"/>
        </w:rPr>
      </w:pPr>
      <w:r w:rsidRPr="00520AC8">
        <w:rPr>
          <w:rFonts w:ascii="標楷體" w:eastAsia="標楷體" w:hAnsi="標楷體" w:hint="eastAsia"/>
        </w:rPr>
        <w:t>3</w:t>
      </w:r>
      <w:r w:rsidRPr="00520AC8">
        <w:rPr>
          <w:rFonts w:ascii="標楷體" w:eastAsia="標楷體" w:hAnsi="標楷體"/>
        </w:rPr>
        <w:t xml:space="preserve">. </w:t>
      </w:r>
      <w:r w:rsidR="005C1543" w:rsidRPr="00520AC8">
        <w:rPr>
          <w:rFonts w:ascii="標楷體" w:eastAsia="標楷體" w:hAnsi="標楷體"/>
        </w:rPr>
        <w:t xml:space="preserve">在非沙盤歷程中，兩位受督者的焦點皆集中於 </w:t>
      </w:r>
      <w:r w:rsidR="005C1543" w:rsidRPr="00520AC8">
        <w:rPr>
          <w:rFonts w:ascii="標楷體" w:eastAsia="標楷體" w:hAnsi="標楷體"/>
          <w:bCs/>
        </w:rPr>
        <w:t>Eye 4、Eye 6 與 Eye 1</w:t>
      </w:r>
      <w:r w:rsidR="005C1543" w:rsidRPr="00520AC8">
        <w:rPr>
          <w:rFonts w:ascii="標楷體" w:eastAsia="標楷體" w:hAnsi="標楷體"/>
        </w:rPr>
        <w:t>，顯示非沙盤型態下的焦點分布較趨一致。</w:t>
      </w:r>
    </w:p>
    <w:p w:rsidR="005C1543" w:rsidRPr="005C1543" w:rsidRDefault="00520AC8" w:rsidP="00520AC8">
      <w:pPr>
        <w:jc w:val="both"/>
        <w:rPr>
          <w:rFonts w:ascii="標楷體" w:eastAsia="標楷體" w:hAnsi="標楷體"/>
        </w:rPr>
      </w:pPr>
      <w:r>
        <w:rPr>
          <w:rFonts w:ascii="標楷體" w:eastAsia="標楷體" w:hAnsi="標楷體" w:hint="eastAsia"/>
          <w:b/>
          <w:bCs/>
        </w:rPr>
        <w:t>(二)</w:t>
      </w:r>
      <w:r w:rsidR="005C1543" w:rsidRPr="005C1543">
        <w:rPr>
          <w:rFonts w:ascii="標楷體" w:eastAsia="標楷體" w:hAnsi="標楷體"/>
          <w:b/>
          <w:bCs/>
        </w:rPr>
        <w:t>最低比例的類型</w:t>
      </w:r>
    </w:p>
    <w:p w:rsidR="005C1543" w:rsidRPr="00520AC8" w:rsidRDefault="00520AC8" w:rsidP="00520AC8">
      <w:pPr>
        <w:jc w:val="both"/>
        <w:rPr>
          <w:rFonts w:ascii="標楷體" w:eastAsia="標楷體" w:hAnsi="標楷體"/>
        </w:rPr>
      </w:pPr>
      <w:r w:rsidRPr="00520AC8">
        <w:rPr>
          <w:rFonts w:ascii="標楷體" w:eastAsia="標楷體" w:hAnsi="標楷體"/>
        </w:rPr>
        <w:t xml:space="preserve">1. </w:t>
      </w:r>
      <w:r w:rsidR="005C1543" w:rsidRPr="00520AC8">
        <w:rPr>
          <w:rFonts w:ascii="標楷體" w:eastAsia="標楷體" w:hAnsi="標楷體"/>
        </w:rPr>
        <w:t>A受督</w:t>
      </w:r>
      <w:r w:rsidR="00AC0EAC">
        <w:rPr>
          <w:rFonts w:ascii="標楷體" w:eastAsia="標楷體" w:hAnsi="標楷體" w:hint="eastAsia"/>
        </w:rPr>
        <w:t>者</w:t>
      </w:r>
      <w:r w:rsidR="005C1543" w:rsidRPr="00520AC8">
        <w:rPr>
          <w:rFonts w:ascii="標楷體" w:eastAsia="標楷體" w:hAnsi="標楷體"/>
        </w:rPr>
        <w:t xml:space="preserve">於沙盤歷程最低比例為 </w:t>
      </w:r>
      <w:r w:rsidR="005C1543" w:rsidRPr="00520AC8">
        <w:rPr>
          <w:rFonts w:ascii="標楷體" w:eastAsia="標楷體" w:hAnsi="標楷體"/>
          <w:bCs/>
        </w:rPr>
        <w:t>Eye 5（受督–督導關係，2%）、Eye 7（系統脈絡，3.1%）、Eye 3（案主–受督關係，5%）</w:t>
      </w:r>
      <w:r w:rsidR="005C1543" w:rsidRPr="00520AC8">
        <w:rPr>
          <w:rFonts w:ascii="標楷體" w:eastAsia="標楷體" w:hAnsi="標楷體"/>
        </w:rPr>
        <w:t>。</w:t>
      </w:r>
    </w:p>
    <w:p w:rsidR="005C1543" w:rsidRPr="00520AC8" w:rsidRDefault="00520AC8" w:rsidP="00520AC8">
      <w:pPr>
        <w:jc w:val="both"/>
        <w:rPr>
          <w:rFonts w:ascii="標楷體" w:eastAsia="標楷體" w:hAnsi="標楷體"/>
        </w:rPr>
      </w:pPr>
      <w:r w:rsidRPr="00520AC8">
        <w:rPr>
          <w:rFonts w:ascii="標楷體" w:eastAsia="標楷體" w:hAnsi="標楷體"/>
        </w:rPr>
        <w:t xml:space="preserve">2. </w:t>
      </w:r>
      <w:r w:rsidR="005C1543" w:rsidRPr="00520AC8">
        <w:rPr>
          <w:rFonts w:ascii="標楷體" w:eastAsia="標楷體" w:hAnsi="標楷體"/>
        </w:rPr>
        <w:t>B受督</w:t>
      </w:r>
      <w:r w:rsidR="00AC0EAC">
        <w:rPr>
          <w:rFonts w:ascii="標楷體" w:eastAsia="標楷體" w:hAnsi="標楷體" w:hint="eastAsia"/>
        </w:rPr>
        <w:t>者</w:t>
      </w:r>
      <w:r w:rsidR="005C1543" w:rsidRPr="00520AC8">
        <w:rPr>
          <w:rFonts w:ascii="標楷體" w:eastAsia="標楷體" w:hAnsi="標楷體"/>
        </w:rPr>
        <w:t xml:space="preserve">於沙盤歷程最低比例為 </w:t>
      </w:r>
      <w:r w:rsidR="005C1543" w:rsidRPr="00520AC8">
        <w:rPr>
          <w:rFonts w:ascii="標楷體" w:eastAsia="標楷體" w:hAnsi="標楷體"/>
          <w:bCs/>
        </w:rPr>
        <w:t>Eye 5（2.9%）、Eye 3（2.9%）、Eye 7（4.3%）</w:t>
      </w:r>
      <w:r w:rsidR="005C1543" w:rsidRPr="00520AC8">
        <w:rPr>
          <w:rFonts w:ascii="標楷體" w:eastAsia="標楷體" w:hAnsi="標楷體"/>
        </w:rPr>
        <w:t>。</w:t>
      </w:r>
    </w:p>
    <w:p w:rsidR="005C1543" w:rsidRPr="00520AC8" w:rsidRDefault="00520AC8" w:rsidP="00520AC8">
      <w:pPr>
        <w:jc w:val="both"/>
        <w:rPr>
          <w:rFonts w:ascii="標楷體" w:eastAsia="標楷體" w:hAnsi="標楷體"/>
        </w:rPr>
      </w:pPr>
      <w:r w:rsidRPr="00520AC8">
        <w:rPr>
          <w:rFonts w:ascii="標楷體" w:eastAsia="標楷體" w:hAnsi="標楷體"/>
        </w:rPr>
        <w:t xml:space="preserve">3. </w:t>
      </w:r>
      <w:r w:rsidR="005C1543" w:rsidRPr="00520AC8">
        <w:rPr>
          <w:rFonts w:ascii="標楷體" w:eastAsia="標楷體" w:hAnsi="標楷體"/>
        </w:rPr>
        <w:t xml:space="preserve">非沙盤歷程中，A受督最低比例為 </w:t>
      </w:r>
      <w:r w:rsidR="005C1543" w:rsidRPr="00520AC8">
        <w:rPr>
          <w:rFonts w:ascii="標楷體" w:eastAsia="標楷體" w:hAnsi="標楷體"/>
          <w:bCs/>
        </w:rPr>
        <w:t>Eye 7（2.4%）、Eye 3（4.9%）、Eye 5（5.5%）</w:t>
      </w:r>
      <w:r w:rsidR="005C1543" w:rsidRPr="00520AC8">
        <w:rPr>
          <w:rFonts w:ascii="標楷體" w:eastAsia="標楷體" w:hAnsi="標楷體"/>
        </w:rPr>
        <w:t>，</w:t>
      </w:r>
      <w:r w:rsidR="005C1543" w:rsidRPr="005C1543">
        <w:rPr>
          <w:rFonts w:ascii="標楷體" w:eastAsia="標楷體" w:hAnsi="標楷體"/>
        </w:rPr>
        <w:t xml:space="preserve">B受督最低比例則為 </w:t>
      </w:r>
      <w:r w:rsidR="005C1543" w:rsidRPr="00520AC8">
        <w:rPr>
          <w:rFonts w:ascii="標楷體" w:eastAsia="標楷體" w:hAnsi="標楷體"/>
          <w:bCs/>
        </w:rPr>
        <w:t>Eye 5（3.8%）、Eye 7（6.2%）、Eye 2（10%）</w:t>
      </w:r>
      <w:r w:rsidR="005C1543" w:rsidRPr="00520AC8">
        <w:rPr>
          <w:rFonts w:ascii="標楷體" w:eastAsia="標楷體" w:hAnsi="標楷體"/>
        </w:rPr>
        <w:t>。</w:t>
      </w:r>
    </w:p>
    <w:p w:rsidR="005C1543" w:rsidRPr="005C1543" w:rsidRDefault="00520AC8" w:rsidP="00520AC8">
      <w:pPr>
        <w:jc w:val="both"/>
        <w:rPr>
          <w:rFonts w:ascii="標楷體" w:eastAsia="標楷體" w:hAnsi="標楷體"/>
        </w:rPr>
      </w:pPr>
      <w:r>
        <w:rPr>
          <w:rFonts w:ascii="標楷體" w:eastAsia="標楷體" w:hAnsi="標楷體" w:hint="eastAsia"/>
          <w:b/>
          <w:bCs/>
        </w:rPr>
        <w:t>(三)</w:t>
      </w:r>
      <w:r w:rsidR="005C1543" w:rsidRPr="005C1543">
        <w:rPr>
          <w:rFonts w:ascii="標楷體" w:eastAsia="標楷體" w:hAnsi="標楷體"/>
          <w:b/>
          <w:bCs/>
        </w:rPr>
        <w:t>沙盤與非沙盤的比較</w:t>
      </w:r>
    </w:p>
    <w:p w:rsidR="005C1543" w:rsidRPr="005C1543" w:rsidRDefault="00520AC8" w:rsidP="00520AC8">
      <w:pPr>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771460">
        <w:rPr>
          <w:rFonts w:ascii="標楷體" w:eastAsia="標楷體" w:hAnsi="標楷體"/>
        </w:rPr>
        <w:t>沙盤歷程中，兩位受督者展現出</w:t>
      </w:r>
      <w:r w:rsidR="00771460">
        <w:rPr>
          <w:rFonts w:ascii="標楷體" w:eastAsia="標楷體" w:hAnsi="標楷體" w:hint="eastAsia"/>
        </w:rPr>
        <w:t>督導焦點</w:t>
      </w:r>
      <w:r w:rsidR="00771460">
        <w:rPr>
          <w:rFonts w:ascii="標楷體" w:eastAsia="標楷體" w:hAnsi="標楷體"/>
        </w:rPr>
        <w:t>的個別差異</w:t>
      </w:r>
      <w:r w:rsidR="00771460">
        <w:rPr>
          <w:rFonts w:ascii="標楷體" w:eastAsia="標楷體" w:hAnsi="標楷體" w:hint="eastAsia"/>
        </w:rPr>
        <w:t>，包含</w:t>
      </w:r>
      <w:r w:rsidR="005C1543" w:rsidRPr="005C1543">
        <w:rPr>
          <w:rFonts w:ascii="標楷體" w:eastAsia="標楷體" w:hAnsi="標楷體"/>
        </w:rPr>
        <w:t>A受督</w:t>
      </w:r>
      <w:r w:rsidR="00AC0EAC">
        <w:rPr>
          <w:rFonts w:ascii="標楷體" w:eastAsia="標楷體" w:hAnsi="標楷體" w:hint="eastAsia"/>
        </w:rPr>
        <w:t>者</w:t>
      </w:r>
      <w:r w:rsidR="005C1543" w:rsidRPr="005C1543">
        <w:rPr>
          <w:rFonts w:ascii="標楷體" w:eastAsia="標楷體" w:hAnsi="標楷體"/>
        </w:rPr>
        <w:t>偏向案主經驗與自我反思並存（Eye 1、Eye 4），而B受督</w:t>
      </w:r>
      <w:r w:rsidR="00AC0EAC">
        <w:rPr>
          <w:rFonts w:ascii="標楷體" w:eastAsia="標楷體" w:hAnsi="標楷體" w:hint="eastAsia"/>
        </w:rPr>
        <w:t>者</w:t>
      </w:r>
      <w:r w:rsidR="005C1543" w:rsidRPr="005C1543">
        <w:rPr>
          <w:rFonts w:ascii="標楷體" w:eastAsia="標楷體" w:hAnsi="標楷體"/>
        </w:rPr>
        <w:t>則更多著眼於專業策略與自我反思（Eye 2、Eye 4）。</w:t>
      </w:r>
    </w:p>
    <w:p w:rsidR="005C1543" w:rsidRPr="00520AC8" w:rsidRDefault="005C1543" w:rsidP="00771460">
      <w:pPr>
        <w:pStyle w:val="a7"/>
        <w:numPr>
          <w:ilvl w:val="0"/>
          <w:numId w:val="5"/>
        </w:numPr>
        <w:ind w:leftChars="0" w:left="0" w:firstLine="0"/>
        <w:jc w:val="both"/>
        <w:rPr>
          <w:rFonts w:ascii="標楷體" w:eastAsia="標楷體" w:hAnsi="標楷體"/>
        </w:rPr>
      </w:pPr>
      <w:r w:rsidRPr="00520AC8">
        <w:rPr>
          <w:rFonts w:ascii="標楷體" w:eastAsia="標楷體" w:hAnsi="標楷體"/>
        </w:rPr>
        <w:t>非沙盤歷程則呈現焦點收斂，兩位受督者均以自我（Eye 4）、督導者反應（Eye 6）及案主（Eye 1）為核心，顯示語言性督導情境下焦點較集中</w:t>
      </w:r>
      <w:r w:rsidR="00AC0EAC">
        <w:rPr>
          <w:rFonts w:ascii="標楷體" w:eastAsia="標楷體" w:hAnsi="標楷體" w:hint="eastAsia"/>
        </w:rPr>
        <w:t>，環繞在案主、諮商者及督導者三者之間</w:t>
      </w:r>
      <w:r w:rsidRPr="00520AC8">
        <w:rPr>
          <w:rFonts w:ascii="標楷體" w:eastAsia="標楷體" w:hAnsi="標楷體"/>
        </w:rPr>
        <w:t>。</w:t>
      </w:r>
    </w:p>
    <w:p w:rsidR="005C1543" w:rsidRPr="00520AC8" w:rsidRDefault="00520AC8" w:rsidP="00520AC8">
      <w:pPr>
        <w:jc w:val="both"/>
        <w:rPr>
          <w:rFonts w:ascii="標楷體" w:eastAsia="標楷體" w:hAnsi="標楷體"/>
          <w:b/>
          <w:bCs/>
        </w:rPr>
      </w:pPr>
      <w:r>
        <w:rPr>
          <w:rFonts w:ascii="標楷體" w:eastAsia="標楷體" w:hAnsi="標楷體" w:hint="eastAsia"/>
          <w:b/>
          <w:bCs/>
        </w:rPr>
        <w:t>二、</w:t>
      </w:r>
      <w:r w:rsidR="005C1543" w:rsidRPr="00520AC8">
        <w:rPr>
          <w:rFonts w:ascii="標楷體" w:eastAsia="標楷體" w:hAnsi="標楷體"/>
          <w:b/>
          <w:bCs/>
        </w:rPr>
        <w:t>討論</w:t>
      </w:r>
    </w:p>
    <w:p w:rsidR="005C1543" w:rsidRPr="005C1543" w:rsidRDefault="00520AC8" w:rsidP="00520AC8">
      <w:pPr>
        <w:jc w:val="both"/>
        <w:rPr>
          <w:rFonts w:ascii="標楷體" w:eastAsia="標楷體" w:hAnsi="標楷體"/>
        </w:rPr>
      </w:pPr>
      <w:r>
        <w:rPr>
          <w:rFonts w:ascii="標楷體" w:eastAsia="標楷體" w:hAnsi="標楷體" w:hint="eastAsia"/>
          <w:b/>
          <w:bCs/>
        </w:rPr>
        <w:t>(一)</w:t>
      </w:r>
      <w:r w:rsidR="005C1543" w:rsidRPr="005C1543">
        <w:rPr>
          <w:rFonts w:ascii="標楷體" w:eastAsia="標楷體" w:hAnsi="標楷體"/>
          <w:b/>
          <w:bCs/>
        </w:rPr>
        <w:t>沙盤歷程的個別化差異</w:t>
      </w:r>
      <w:r w:rsidR="005C1543" w:rsidRPr="005C1543">
        <w:rPr>
          <w:rFonts w:ascii="標楷體" w:eastAsia="標楷體" w:hAnsi="標楷體"/>
        </w:rPr>
        <w:br/>
      </w:r>
      <w:r w:rsidR="00614E75">
        <w:rPr>
          <w:rFonts w:ascii="標楷體" w:eastAsia="標楷體" w:hAnsi="標楷體" w:hint="eastAsia"/>
        </w:rPr>
        <w:t xml:space="preserve">    </w:t>
      </w:r>
      <w:r w:rsidR="00AC0EAC">
        <w:rPr>
          <w:rFonts w:ascii="標楷體" w:eastAsia="標楷體" w:hAnsi="標楷體"/>
        </w:rPr>
        <w:t>沙盤督導顯示出不同受督者之間</w:t>
      </w:r>
      <w:r w:rsidR="00614E75">
        <w:rPr>
          <w:rFonts w:ascii="標楷體" w:eastAsia="標楷體" w:hAnsi="標楷體" w:hint="eastAsia"/>
        </w:rPr>
        <w:t>有不同的督導焦點</w:t>
      </w:r>
      <w:r w:rsidR="00AC0EAC">
        <w:rPr>
          <w:rFonts w:ascii="標楷體" w:eastAsia="標楷體" w:hAnsi="標楷體"/>
        </w:rPr>
        <w:t>差異</w:t>
      </w:r>
      <w:r w:rsidR="00AC0EAC">
        <w:rPr>
          <w:rFonts w:ascii="標楷體" w:eastAsia="標楷體" w:hAnsi="標楷體" w:hint="eastAsia"/>
        </w:rPr>
        <w:t>，</w:t>
      </w:r>
      <w:r w:rsidR="005C1543" w:rsidRPr="005C1543">
        <w:rPr>
          <w:rFonts w:ascii="標楷體" w:eastAsia="標楷體" w:hAnsi="標楷體"/>
        </w:rPr>
        <w:t>A受督</w:t>
      </w:r>
      <w:r w:rsidR="00AC0EAC">
        <w:rPr>
          <w:rFonts w:ascii="標楷體" w:eastAsia="標楷體" w:hAnsi="標楷體" w:hint="eastAsia"/>
        </w:rPr>
        <w:t>者</w:t>
      </w:r>
      <w:r w:rsidR="005C1543" w:rsidRPr="005C1543">
        <w:rPr>
          <w:rFonts w:ascii="標楷體" w:eastAsia="標楷體" w:hAnsi="標楷體"/>
        </w:rPr>
        <w:t>傾向透過象徵表達與案主建立共鳴，因而提高了Eye 1的比例；而B受督則將沙盤視為策略與反思的媒介，Eye 2與Eye 4的比例明顯提升。此結果顯示，沙盤作為</w:t>
      </w:r>
      <w:r w:rsidR="00614E75">
        <w:rPr>
          <w:rFonts w:ascii="標楷體" w:eastAsia="標楷體" w:hAnsi="標楷體" w:hint="eastAsia"/>
        </w:rPr>
        <w:t>督導</w:t>
      </w:r>
      <w:r w:rsidR="005C1543" w:rsidRPr="005C1543">
        <w:rPr>
          <w:rFonts w:ascii="標楷體" w:eastAsia="標楷體" w:hAnsi="標楷體"/>
        </w:rPr>
        <w:t>媒材</w:t>
      </w:r>
      <w:r w:rsidR="00614E75">
        <w:rPr>
          <w:rFonts w:ascii="標楷體" w:eastAsia="標楷體" w:hAnsi="標楷體" w:hint="eastAsia"/>
        </w:rPr>
        <w:t>，具有表達性藝術支持獨特創意與促發個別探索的功能，</w:t>
      </w:r>
      <w:r w:rsidR="00614E75">
        <w:rPr>
          <w:rFonts w:ascii="標楷體" w:eastAsia="標楷體" w:hAnsi="標楷體"/>
        </w:rPr>
        <w:t>能夠喚起受督者不同的思維模式與表達方式，</w:t>
      </w:r>
      <w:r w:rsidR="00614E75">
        <w:rPr>
          <w:rFonts w:ascii="標楷體" w:eastAsia="標楷體" w:hAnsi="標楷體" w:hint="eastAsia"/>
        </w:rPr>
        <w:t>形成</w:t>
      </w:r>
      <w:r w:rsidR="00614E75">
        <w:rPr>
          <w:rFonts w:ascii="標楷體" w:eastAsia="標楷體" w:hAnsi="標楷體"/>
        </w:rPr>
        <w:t>沙盤具有「</w:t>
      </w:r>
      <w:r w:rsidR="00614E75">
        <w:rPr>
          <w:rFonts w:ascii="標楷體" w:eastAsia="標楷體" w:hAnsi="標楷體" w:hint="eastAsia"/>
        </w:rPr>
        <w:t>督導焦點</w:t>
      </w:r>
      <w:r w:rsidR="005C1543" w:rsidRPr="005C1543">
        <w:rPr>
          <w:rFonts w:ascii="標楷體" w:eastAsia="標楷體" w:hAnsi="標楷體"/>
        </w:rPr>
        <w:t>差異」的功能。</w:t>
      </w:r>
    </w:p>
    <w:p w:rsidR="005C1543" w:rsidRPr="005C1543" w:rsidRDefault="00520AC8" w:rsidP="00520AC8">
      <w:pPr>
        <w:jc w:val="both"/>
        <w:rPr>
          <w:rFonts w:ascii="標楷體" w:eastAsia="標楷體" w:hAnsi="標楷體"/>
        </w:rPr>
      </w:pPr>
      <w:r>
        <w:rPr>
          <w:rFonts w:ascii="標楷體" w:eastAsia="標楷體" w:hAnsi="標楷體" w:hint="eastAsia"/>
          <w:b/>
          <w:bCs/>
        </w:rPr>
        <w:t>(二)</w:t>
      </w:r>
      <w:r w:rsidR="005C1543" w:rsidRPr="005C1543">
        <w:rPr>
          <w:rFonts w:ascii="標楷體" w:eastAsia="標楷體" w:hAnsi="標楷體"/>
          <w:b/>
          <w:bCs/>
        </w:rPr>
        <w:t>非沙盤歷程的焦點收斂</w:t>
      </w:r>
      <w:r w:rsidR="005C1543" w:rsidRPr="005C1543">
        <w:rPr>
          <w:rFonts w:ascii="標楷體" w:eastAsia="標楷體" w:hAnsi="標楷體"/>
        </w:rPr>
        <w:br/>
      </w:r>
      <w:r w:rsidR="00614E75">
        <w:rPr>
          <w:rFonts w:ascii="標楷體" w:eastAsia="標楷體" w:hAnsi="標楷體" w:hint="eastAsia"/>
        </w:rPr>
        <w:t xml:space="preserve">    </w:t>
      </w:r>
      <w:r w:rsidR="005C1543" w:rsidRPr="005C1543">
        <w:rPr>
          <w:rFonts w:ascii="標楷體" w:eastAsia="標楷體" w:hAnsi="標楷體"/>
        </w:rPr>
        <w:t>非沙盤歷程中，兩位受督者皆呈現以自我（Eye 4）、督導者（Eye 6）與案主（Eye 1）為核心的穩定模式，顯示在語言性督導的結構中，受督者更易依循慣常的表達路徑與討論焦點。此與沙盤的開放性、象徵性形成對比，也說明非沙盤督導具有「焦點固定化」的特徵。</w:t>
      </w:r>
    </w:p>
    <w:p w:rsidR="005C1543" w:rsidRPr="005C1543" w:rsidRDefault="00520AC8" w:rsidP="00520AC8">
      <w:pPr>
        <w:jc w:val="both"/>
        <w:rPr>
          <w:rFonts w:ascii="標楷體" w:eastAsia="標楷體" w:hAnsi="標楷體"/>
        </w:rPr>
      </w:pPr>
      <w:r>
        <w:rPr>
          <w:rFonts w:ascii="標楷體" w:eastAsia="標楷體" w:hAnsi="標楷體" w:hint="eastAsia"/>
          <w:b/>
          <w:bCs/>
        </w:rPr>
        <w:t>(三)</w:t>
      </w:r>
      <w:r w:rsidR="005C1543" w:rsidRPr="005C1543">
        <w:rPr>
          <w:rFonts w:ascii="標楷體" w:eastAsia="標楷體" w:hAnsi="標楷體"/>
          <w:b/>
          <w:bCs/>
        </w:rPr>
        <w:t>低比例眼的意涵</w:t>
      </w:r>
      <w:r w:rsidR="005C1543" w:rsidRPr="005C1543">
        <w:rPr>
          <w:rFonts w:ascii="標楷體" w:eastAsia="標楷體" w:hAnsi="標楷體"/>
        </w:rPr>
        <w:br/>
      </w:r>
      <w:r w:rsidR="008C39A4">
        <w:rPr>
          <w:rFonts w:ascii="標楷體" w:eastAsia="標楷體" w:hAnsi="標楷體" w:hint="eastAsia"/>
        </w:rPr>
        <w:t xml:space="preserve">   </w:t>
      </w:r>
      <w:r w:rsidR="005C1543" w:rsidRPr="005C1543">
        <w:rPr>
          <w:rFonts w:ascii="標楷體" w:eastAsia="標楷體" w:hAnsi="標楷體"/>
        </w:rPr>
        <w:t>無論沙盤或非沙盤，Eye 3（案主–受督者關係）、Eye 5（受督–督導關係）與 Eye 7（系統脈絡）皆為低比例焦點。這反映出新手專輔在初期較少以關係性</w:t>
      </w:r>
      <w:r w:rsidR="005C1543" w:rsidRPr="005C1543">
        <w:rPr>
          <w:rFonts w:ascii="標楷體" w:eastAsia="標楷體" w:hAnsi="標楷體"/>
        </w:rPr>
        <w:lastRenderedPageBreak/>
        <w:t>或系統觀來理解督導歷程，主要聚焦於自我經驗與專業技巧。此結果呼應先前研究（如 Tangen, 2014；Hawkins &amp; Shohet, 2012），指出新手受督者常將專注點放在案主或自身，對於多層次關係脈絡的敏感度尚在發展中。</w:t>
      </w:r>
    </w:p>
    <w:p w:rsidR="005C1543" w:rsidRPr="005C1543" w:rsidRDefault="00520AC8" w:rsidP="00520AC8">
      <w:pPr>
        <w:jc w:val="both"/>
        <w:rPr>
          <w:rFonts w:ascii="標楷體" w:eastAsia="標楷體" w:hAnsi="標楷體"/>
        </w:rPr>
      </w:pPr>
      <w:r>
        <w:rPr>
          <w:rFonts w:ascii="標楷體" w:eastAsia="標楷體" w:hAnsi="標楷體" w:hint="eastAsia"/>
          <w:b/>
          <w:bCs/>
        </w:rPr>
        <w:t>(四)</w:t>
      </w:r>
      <w:r w:rsidR="005C1543" w:rsidRPr="005C1543">
        <w:rPr>
          <w:rFonts w:ascii="標楷體" w:eastAsia="標楷體" w:hAnsi="標楷體"/>
          <w:b/>
          <w:bCs/>
        </w:rPr>
        <w:t>背景差異的影響</w:t>
      </w:r>
      <w:r w:rsidR="005C1543" w:rsidRPr="005C1543">
        <w:rPr>
          <w:rFonts w:ascii="標楷體" w:eastAsia="標楷體" w:hAnsi="標楷體"/>
        </w:rPr>
        <w:br/>
      </w:r>
      <w:r w:rsidR="008C39A4">
        <w:rPr>
          <w:rFonts w:ascii="標楷體" w:eastAsia="標楷體" w:hAnsi="標楷體" w:hint="eastAsia"/>
        </w:rPr>
        <w:t xml:space="preserve">    </w:t>
      </w:r>
      <w:r w:rsidR="005C1543" w:rsidRPr="005C1543">
        <w:rPr>
          <w:rFonts w:ascii="標楷體" w:eastAsia="標楷體" w:hAnsi="標楷體"/>
        </w:rPr>
        <w:t>A受督為現任專輔，B受督為</w:t>
      </w:r>
      <w:r w:rsidR="00FC738A">
        <w:rPr>
          <w:rFonts w:ascii="標楷體" w:eastAsia="標楷體" w:hAnsi="標楷體" w:hint="eastAsia"/>
        </w:rPr>
        <w:t>在學</w:t>
      </w:r>
      <w:r w:rsidR="00FC738A">
        <w:rPr>
          <w:rFonts w:ascii="標楷體" w:eastAsia="標楷體" w:hAnsi="標楷體"/>
        </w:rPr>
        <w:t>實習</w:t>
      </w:r>
      <w:r w:rsidR="00FC738A">
        <w:rPr>
          <w:rFonts w:ascii="標楷體" w:eastAsia="標楷體" w:hAnsi="標楷體" w:hint="eastAsia"/>
        </w:rPr>
        <w:t>專輔</w:t>
      </w:r>
      <w:r w:rsidR="005C1543" w:rsidRPr="005C1543">
        <w:rPr>
          <w:rFonts w:ascii="標楷體" w:eastAsia="標楷體" w:hAnsi="標楷體"/>
        </w:rPr>
        <w:t>，兩者在專業</w:t>
      </w:r>
      <w:r w:rsidR="00FC738A">
        <w:rPr>
          <w:rFonts w:ascii="標楷體" w:eastAsia="標楷體" w:hAnsi="標楷體"/>
        </w:rPr>
        <w:t>發展階段與教育現場的角色定位有所不同。此差異可能影響其焦點分布</w:t>
      </w:r>
      <w:r w:rsidR="00FC738A">
        <w:rPr>
          <w:rFonts w:ascii="標楷體" w:eastAsia="標楷體" w:hAnsi="標楷體" w:hint="eastAsia"/>
        </w:rPr>
        <w:t>，包含</w:t>
      </w:r>
      <w:r w:rsidR="005C1543" w:rsidRPr="005C1543">
        <w:rPr>
          <w:rFonts w:ascii="標楷體" w:eastAsia="標楷體" w:hAnsi="標楷體"/>
        </w:rPr>
        <w:t>A受督</w:t>
      </w:r>
      <w:r w:rsidR="00FC738A">
        <w:rPr>
          <w:rFonts w:ascii="標楷體" w:eastAsia="標楷體" w:hAnsi="標楷體" w:hint="eastAsia"/>
        </w:rPr>
        <w:t>者</w:t>
      </w:r>
      <w:r w:rsidR="005C1543" w:rsidRPr="005C1543">
        <w:rPr>
          <w:rFonts w:ascii="標楷體" w:eastAsia="標楷體" w:hAnsi="標楷體"/>
        </w:rPr>
        <w:t>因</w:t>
      </w:r>
      <w:r w:rsidR="00FC738A">
        <w:rPr>
          <w:rFonts w:ascii="標楷體" w:eastAsia="標楷體" w:hAnsi="標楷體" w:hint="eastAsia"/>
        </w:rPr>
        <w:t>個案概念畫歷程仍在建構中，因而對於案主的詮釋與探討</w:t>
      </w:r>
      <w:r w:rsidR="005C1543" w:rsidRPr="005C1543">
        <w:rPr>
          <w:rFonts w:ascii="標楷體" w:eastAsia="標楷體" w:hAnsi="標楷體"/>
        </w:rPr>
        <w:t>提高Eye 1比例，B受督則因</w:t>
      </w:r>
      <w:r w:rsidR="00FC738A">
        <w:rPr>
          <w:rFonts w:ascii="標楷體" w:eastAsia="標楷體" w:hAnsi="標楷體" w:hint="eastAsia"/>
        </w:rPr>
        <w:t>有自發性的諮商理論</w:t>
      </w:r>
      <w:r w:rsidR="005C1543" w:rsidRPr="005C1543">
        <w:rPr>
          <w:rFonts w:ascii="標楷體" w:eastAsia="標楷體" w:hAnsi="標楷體"/>
        </w:rPr>
        <w:t>學習取向而</w:t>
      </w:r>
      <w:r w:rsidR="00FC738A">
        <w:rPr>
          <w:rFonts w:ascii="標楷體" w:eastAsia="標楷體" w:hAnsi="標楷體" w:hint="eastAsia"/>
        </w:rPr>
        <w:t>有更多的實務結合理論的嘗試，因而</w:t>
      </w:r>
      <w:r w:rsidR="005C1543" w:rsidRPr="005C1543">
        <w:rPr>
          <w:rFonts w:ascii="標楷體" w:eastAsia="標楷體" w:hAnsi="標楷體"/>
        </w:rPr>
        <w:t>增加Eye 2比例。此發現突顯了七眼模型在比較不同發展階段受督者時的應用價值。</w:t>
      </w:r>
    </w:p>
    <w:p w:rsidR="005C1543" w:rsidRPr="005C1543" w:rsidRDefault="00520AC8" w:rsidP="005C1543">
      <w:pPr>
        <w:jc w:val="both"/>
        <w:rPr>
          <w:rFonts w:ascii="標楷體" w:eastAsia="標楷體" w:hAnsi="標楷體"/>
          <w:b/>
          <w:bCs/>
        </w:rPr>
      </w:pPr>
      <w:r>
        <w:rPr>
          <w:rFonts w:ascii="標楷體" w:eastAsia="標楷體" w:hAnsi="標楷體" w:hint="eastAsia"/>
          <w:b/>
          <w:bCs/>
        </w:rPr>
        <w:t>三、</w:t>
      </w:r>
      <w:r w:rsidR="005C1543" w:rsidRPr="005C1543">
        <w:rPr>
          <w:rFonts w:ascii="標楷體" w:eastAsia="標楷體" w:hAnsi="標楷體"/>
          <w:b/>
          <w:bCs/>
        </w:rPr>
        <w:t>建議</w:t>
      </w:r>
    </w:p>
    <w:p w:rsidR="005C1543" w:rsidRPr="005C1543" w:rsidRDefault="00945CFD" w:rsidP="00945CFD">
      <w:pPr>
        <w:jc w:val="both"/>
        <w:rPr>
          <w:rFonts w:ascii="標楷體" w:eastAsia="標楷體" w:hAnsi="標楷體"/>
        </w:rPr>
      </w:pPr>
      <w:r>
        <w:rPr>
          <w:rFonts w:ascii="標楷體" w:eastAsia="標楷體" w:hAnsi="標楷體" w:hint="eastAsia"/>
          <w:b/>
          <w:bCs/>
        </w:rPr>
        <w:t>(一)</w:t>
      </w:r>
      <w:r w:rsidR="005C1543" w:rsidRPr="005C1543">
        <w:rPr>
          <w:rFonts w:ascii="標楷體" w:eastAsia="標楷體" w:hAnsi="標楷體"/>
          <w:b/>
          <w:bCs/>
        </w:rPr>
        <w:t>督導實務層面</w:t>
      </w:r>
    </w:p>
    <w:p w:rsidR="005C1543" w:rsidRPr="005C1543" w:rsidRDefault="00CC7970" w:rsidP="00CC7970">
      <w:pPr>
        <w:jc w:val="both"/>
        <w:rPr>
          <w:rFonts w:ascii="標楷體" w:eastAsia="標楷體" w:hAnsi="標楷體"/>
        </w:rPr>
      </w:pPr>
      <w:r>
        <w:rPr>
          <w:rFonts w:ascii="標楷體" w:eastAsia="標楷體" w:hAnsi="標楷體"/>
        </w:rPr>
        <w:t>1. 督導者可在沙盤歷程中鼓勵受督者探索不同視角，發揮沙盤</w:t>
      </w:r>
      <w:r>
        <w:rPr>
          <w:rFonts w:ascii="標楷體" w:eastAsia="標楷體" w:hAnsi="標楷體" w:hint="eastAsia"/>
        </w:rPr>
        <w:t>符合個別差異與需求</w:t>
      </w:r>
      <w:r w:rsidR="005C1543" w:rsidRPr="005C1543">
        <w:rPr>
          <w:rFonts w:ascii="標楷體" w:eastAsia="標楷體" w:hAnsi="標楷體"/>
        </w:rPr>
        <w:t>的功能，以促進個別化專業成長。</w:t>
      </w:r>
    </w:p>
    <w:p w:rsidR="005C1543" w:rsidRPr="005C1543" w:rsidRDefault="00CC7970" w:rsidP="00CC7970">
      <w:pPr>
        <w:jc w:val="both"/>
        <w:rPr>
          <w:rFonts w:ascii="標楷體" w:eastAsia="標楷體" w:hAnsi="標楷體"/>
        </w:rPr>
      </w:pPr>
      <w:r>
        <w:rPr>
          <w:rFonts w:ascii="標楷體" w:eastAsia="標楷體" w:hAnsi="標楷體" w:hint="eastAsia"/>
        </w:rPr>
        <w:t>2</w:t>
      </w:r>
      <w:r>
        <w:rPr>
          <w:rFonts w:ascii="標楷體" w:eastAsia="標楷體" w:hAnsi="標楷體"/>
        </w:rPr>
        <w:t>.</w:t>
      </w:r>
      <w:r w:rsidR="005C1543" w:rsidRPr="005C1543">
        <w:rPr>
          <w:rFonts w:ascii="標楷體" w:eastAsia="標楷體" w:hAnsi="標楷體"/>
        </w:rPr>
        <w:t>在非沙盤歷程中，督導者可刻意引導至低比例的Eye 3、Eye 5與Eye 7，補足新手較少涉入的關係性與系統性視角。</w:t>
      </w:r>
    </w:p>
    <w:p w:rsidR="005C1543" w:rsidRPr="00CC7970" w:rsidRDefault="00CC7970" w:rsidP="00CC7970">
      <w:pPr>
        <w:jc w:val="both"/>
        <w:rPr>
          <w:rFonts w:ascii="標楷體" w:eastAsia="標楷體" w:hAnsi="標楷體"/>
          <w:b/>
          <w:bCs/>
        </w:rPr>
      </w:pPr>
      <w:r>
        <w:rPr>
          <w:rFonts w:ascii="標楷體" w:eastAsia="標楷體" w:hAnsi="標楷體" w:hint="eastAsia"/>
          <w:b/>
          <w:bCs/>
        </w:rPr>
        <w:t>(二</w:t>
      </w:r>
      <w:r>
        <w:rPr>
          <w:rFonts w:ascii="標楷體" w:eastAsia="標楷體" w:hAnsi="標楷體"/>
          <w:b/>
          <w:bCs/>
        </w:rPr>
        <w:t>)</w:t>
      </w:r>
      <w:r w:rsidR="005C1543" w:rsidRPr="005C1543">
        <w:rPr>
          <w:rFonts w:ascii="標楷體" w:eastAsia="標楷體" w:hAnsi="標楷體"/>
          <w:b/>
          <w:bCs/>
        </w:rPr>
        <w:t>受督者培育層面</w:t>
      </w:r>
    </w:p>
    <w:p w:rsidR="005C1543" w:rsidRPr="005C1543" w:rsidRDefault="00CC7970" w:rsidP="00CC7970">
      <w:pPr>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5C1543" w:rsidRPr="005C1543">
        <w:rPr>
          <w:rFonts w:ascii="標楷體" w:eastAsia="標楷體" w:hAnsi="標楷體"/>
        </w:rPr>
        <w:t>新手專輔訓練中應設計反思練習，幫助受督者覺察案主–受督者關係（Eye 3）與系統脈絡（Eye 7），以避免專業焦點過度侷限於自我與技術。</w:t>
      </w:r>
    </w:p>
    <w:p w:rsidR="005C1543" w:rsidRPr="00CC7970" w:rsidRDefault="005C1543" w:rsidP="00CC7970">
      <w:pPr>
        <w:pStyle w:val="a7"/>
        <w:numPr>
          <w:ilvl w:val="0"/>
          <w:numId w:val="6"/>
        </w:numPr>
        <w:ind w:leftChars="0"/>
        <w:jc w:val="both"/>
        <w:rPr>
          <w:rFonts w:ascii="標楷體" w:eastAsia="標楷體" w:hAnsi="標楷體"/>
        </w:rPr>
      </w:pPr>
      <w:r w:rsidRPr="00CC7970">
        <w:rPr>
          <w:rFonts w:ascii="標楷體" w:eastAsia="標楷體" w:hAnsi="標楷體"/>
        </w:rPr>
        <w:t>建議在實務課程中引入沙盤或其他創意媒材，作為突破語言思維侷限的方式。</w:t>
      </w:r>
    </w:p>
    <w:p w:rsidR="005C1543" w:rsidRPr="005C1543" w:rsidRDefault="00CC7970" w:rsidP="00CC7970">
      <w:pPr>
        <w:jc w:val="both"/>
        <w:rPr>
          <w:rFonts w:ascii="標楷體" w:eastAsia="標楷體" w:hAnsi="標楷體"/>
        </w:rPr>
      </w:pPr>
      <w:r>
        <w:rPr>
          <w:rFonts w:ascii="標楷體" w:eastAsia="標楷體" w:hAnsi="標楷體" w:hint="eastAsia"/>
          <w:b/>
          <w:bCs/>
        </w:rPr>
        <w:t>(三)</w:t>
      </w:r>
      <w:r w:rsidR="005C1543" w:rsidRPr="005C1543">
        <w:rPr>
          <w:rFonts w:ascii="標楷體" w:eastAsia="標楷體" w:hAnsi="標楷體"/>
          <w:b/>
          <w:bCs/>
        </w:rPr>
        <w:t>研究層面</w:t>
      </w:r>
    </w:p>
    <w:p w:rsidR="005C1543" w:rsidRPr="005C1543" w:rsidRDefault="00CC7970" w:rsidP="00CC7970">
      <w:pPr>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Pr>
          <w:rFonts w:ascii="標楷體" w:eastAsia="標楷體" w:hAnsi="標楷體" w:hint="eastAsia"/>
        </w:rPr>
        <w:t>本研究僅為沙盤與沙盤督導之初探，研究參與者數量為足以形成有效推論，</w:t>
      </w:r>
      <w:r w:rsidR="005C1543" w:rsidRPr="005C1543">
        <w:rPr>
          <w:rFonts w:ascii="標楷體" w:eastAsia="標楷體" w:hAnsi="標楷體"/>
        </w:rPr>
        <w:t>未來可擴大樣本，涵蓋不同性別、年資與教育階段的專輔，以驗證本研究所觀察到的差異。</w:t>
      </w:r>
    </w:p>
    <w:p w:rsidR="005C1543" w:rsidRPr="00CC7970" w:rsidRDefault="005C1543" w:rsidP="00CC7970">
      <w:pPr>
        <w:pStyle w:val="a7"/>
        <w:numPr>
          <w:ilvl w:val="0"/>
          <w:numId w:val="8"/>
        </w:numPr>
        <w:ind w:leftChars="0" w:left="0" w:firstLine="0"/>
        <w:jc w:val="both"/>
        <w:rPr>
          <w:rFonts w:ascii="標楷體" w:eastAsia="標楷體" w:hAnsi="標楷體"/>
        </w:rPr>
      </w:pPr>
      <w:r w:rsidRPr="00CC7970">
        <w:rPr>
          <w:rFonts w:ascii="標楷體" w:eastAsia="標楷體" w:hAnsi="標楷體"/>
        </w:rPr>
        <w:t>本研究僅計算主分類，忽略次分類，未來可進一步探討複合焦點的比例，或建立加權模式以反映語句的多層次意涵。</w:t>
      </w:r>
    </w:p>
    <w:p w:rsidR="008C548F" w:rsidRPr="005C1543" w:rsidRDefault="008C548F" w:rsidP="00C262D1">
      <w:pPr>
        <w:jc w:val="both"/>
        <w:rPr>
          <w:rFonts w:ascii="標楷體" w:eastAsia="標楷體" w:hAnsi="標楷體"/>
        </w:rPr>
      </w:pPr>
    </w:p>
    <w:p w:rsidR="008C548F" w:rsidRPr="002A2C56" w:rsidRDefault="008C548F" w:rsidP="002A2C56">
      <w:pPr>
        <w:jc w:val="center"/>
        <w:rPr>
          <w:rFonts w:ascii="標楷體" w:eastAsia="標楷體" w:hAnsi="標楷體"/>
          <w:sz w:val="28"/>
        </w:rPr>
      </w:pPr>
      <w:r w:rsidRPr="002A2C56">
        <w:rPr>
          <w:rFonts w:ascii="標楷體" w:eastAsia="標楷體" w:hAnsi="標楷體" w:hint="eastAsia"/>
          <w:sz w:val="28"/>
        </w:rPr>
        <w:t>參考文獻</w:t>
      </w:r>
    </w:p>
    <w:p w:rsidR="00B9290D" w:rsidRDefault="00B9290D" w:rsidP="00B9290D">
      <w:pPr>
        <w:ind w:left="480" w:hangingChars="200" w:hanging="480"/>
        <w:jc w:val="both"/>
        <w:rPr>
          <w:rFonts w:ascii="標楷體" w:eastAsia="標楷體" w:hAnsi="標楷體"/>
        </w:rPr>
      </w:pPr>
      <w:r w:rsidRPr="008C548F">
        <w:rPr>
          <w:rFonts w:ascii="標楷體" w:eastAsia="標楷體" w:hAnsi="標楷體"/>
        </w:rPr>
        <w:t xml:space="preserve">Borders, L. D., &amp; Usher, C. H. (1992). Post-degree supervision: Existing and preferred practices. </w:t>
      </w:r>
      <w:r w:rsidRPr="008C548F">
        <w:rPr>
          <w:rFonts w:ascii="標楷體" w:eastAsia="標楷體" w:hAnsi="標楷體"/>
          <w:i/>
          <w:iCs/>
        </w:rPr>
        <w:t>Journal of Counseling &amp; Development, 29</w:t>
      </w:r>
      <w:r w:rsidRPr="008C548F">
        <w:rPr>
          <w:rFonts w:ascii="標楷體" w:eastAsia="標楷體" w:hAnsi="標楷體"/>
        </w:rPr>
        <w:t>, 16–25.</w:t>
      </w:r>
    </w:p>
    <w:p w:rsidR="00B9290D" w:rsidRDefault="00B9290D" w:rsidP="00B9290D">
      <w:pPr>
        <w:ind w:left="480" w:hangingChars="200" w:hanging="480"/>
        <w:jc w:val="both"/>
        <w:rPr>
          <w:rFonts w:ascii="標楷體" w:eastAsia="標楷體" w:hAnsi="標楷體"/>
        </w:rPr>
      </w:pPr>
      <w:r w:rsidRPr="008C548F">
        <w:rPr>
          <w:rFonts w:ascii="標楷體" w:eastAsia="標楷體" w:hAnsi="標楷體"/>
        </w:rPr>
        <w:t xml:space="preserve">Garrett, M. (2017). </w:t>
      </w:r>
      <w:r w:rsidRPr="008C548F">
        <w:rPr>
          <w:rFonts w:ascii="標楷體" w:eastAsia="標楷體" w:hAnsi="標楷體"/>
          <w:i/>
          <w:iCs/>
        </w:rPr>
        <w:t>A sandtray a day keeps the doctor at play: Using sandtray for personal and professional development.</w:t>
      </w:r>
      <w:r w:rsidRPr="008C548F">
        <w:rPr>
          <w:rFonts w:ascii="標楷體" w:eastAsia="標楷體" w:hAnsi="標楷體"/>
        </w:rPr>
        <w:t xml:space="preserve"> </w:t>
      </w:r>
      <w:r w:rsidRPr="008C548F">
        <w:rPr>
          <w:rFonts w:ascii="標楷體" w:eastAsia="標楷體" w:hAnsi="標楷體"/>
          <w:i/>
          <w:iCs/>
        </w:rPr>
        <w:t>Journal of Creativity in Mental Health, 10</w:t>
      </w:r>
      <w:r w:rsidRPr="008C548F">
        <w:rPr>
          <w:rFonts w:ascii="標楷體" w:eastAsia="標楷體" w:hAnsi="標楷體"/>
        </w:rPr>
        <w:t xml:space="preserve">(4), 522–532. </w:t>
      </w:r>
    </w:p>
    <w:p w:rsidR="008C548F" w:rsidRPr="008C548F" w:rsidRDefault="008C548F" w:rsidP="008C548F">
      <w:pPr>
        <w:ind w:left="480" w:hangingChars="200" w:hanging="480"/>
        <w:jc w:val="both"/>
        <w:rPr>
          <w:rFonts w:ascii="標楷體" w:eastAsia="標楷體" w:hAnsi="標楷體"/>
        </w:rPr>
      </w:pPr>
      <w:r w:rsidRPr="008C548F">
        <w:rPr>
          <w:rFonts w:ascii="標楷體" w:eastAsia="標楷體" w:hAnsi="標楷體"/>
        </w:rPr>
        <w:t xml:space="preserve">Harvey, V. S., &amp; Struzziero, J. A. (2008). </w:t>
      </w:r>
      <w:r w:rsidRPr="008C548F">
        <w:rPr>
          <w:rFonts w:ascii="標楷體" w:eastAsia="標楷體" w:hAnsi="標楷體"/>
          <w:i/>
          <w:iCs/>
        </w:rPr>
        <w:t>Professional development and supervision of school psychologists: From intern to expert</w:t>
      </w:r>
      <w:r w:rsidRPr="008C548F">
        <w:rPr>
          <w:rFonts w:ascii="標楷體" w:eastAsia="標楷體" w:hAnsi="標楷體"/>
        </w:rPr>
        <w:t xml:space="preserve"> (2nd ed.). Thousand Oaks, CA: Corwin Press. </w:t>
      </w:r>
    </w:p>
    <w:p w:rsidR="008C548F" w:rsidRPr="008C548F" w:rsidRDefault="008C548F" w:rsidP="008C548F">
      <w:pPr>
        <w:ind w:left="480" w:hangingChars="200" w:hanging="480"/>
        <w:jc w:val="both"/>
        <w:rPr>
          <w:rFonts w:ascii="標楷體" w:eastAsia="標楷體" w:hAnsi="標楷體"/>
        </w:rPr>
      </w:pPr>
      <w:r w:rsidRPr="008C548F">
        <w:rPr>
          <w:rFonts w:ascii="標楷體" w:eastAsia="標楷體" w:hAnsi="標楷體"/>
        </w:rPr>
        <w:t xml:space="preserve">Hawkins, P., &amp; Shohet, R. (2012). </w:t>
      </w:r>
      <w:r w:rsidRPr="008C548F">
        <w:rPr>
          <w:rFonts w:ascii="標楷體" w:eastAsia="標楷體" w:hAnsi="標楷體"/>
          <w:i/>
          <w:iCs/>
        </w:rPr>
        <w:t xml:space="preserve">Supervision in the helping </w:t>
      </w:r>
      <w:r w:rsidRPr="008C548F">
        <w:rPr>
          <w:rFonts w:ascii="標楷體" w:eastAsia="標楷體" w:hAnsi="標楷體"/>
          <w:i/>
          <w:iCs/>
        </w:rPr>
        <w:lastRenderedPageBreak/>
        <w:t>professions</w:t>
      </w:r>
      <w:r w:rsidRPr="008C548F">
        <w:rPr>
          <w:rFonts w:ascii="標楷體" w:eastAsia="標楷體" w:hAnsi="標楷體"/>
        </w:rPr>
        <w:t xml:space="preserve"> (4th ed.). London, UK: McGraw</w:t>
      </w:r>
      <w:r w:rsidRPr="008C548F">
        <w:rPr>
          <w:rFonts w:ascii="標楷體" w:eastAsia="標楷體" w:hAnsi="標楷體"/>
        </w:rPr>
        <w:noBreakHyphen/>
        <w:t xml:space="preserve">Hill/Open University Press. </w:t>
      </w:r>
    </w:p>
    <w:p w:rsidR="008C548F" w:rsidRDefault="008C548F" w:rsidP="008C548F">
      <w:pPr>
        <w:ind w:left="480" w:hangingChars="200" w:hanging="480"/>
        <w:jc w:val="both"/>
        <w:rPr>
          <w:rFonts w:ascii="標楷體" w:eastAsia="標楷體" w:hAnsi="標楷體"/>
        </w:rPr>
      </w:pPr>
      <w:r w:rsidRPr="008C548F">
        <w:rPr>
          <w:rFonts w:ascii="標楷體" w:eastAsia="標楷體" w:hAnsi="標楷體"/>
        </w:rPr>
        <w:t xml:space="preserve">Mitchell, R. R., &amp; Friedman, H. S. (1994). </w:t>
      </w:r>
      <w:r w:rsidRPr="008C548F">
        <w:rPr>
          <w:rFonts w:ascii="標楷體" w:eastAsia="標楷體" w:hAnsi="標楷體"/>
          <w:i/>
          <w:iCs/>
        </w:rPr>
        <w:t>Sandplay: Past, present and future</w:t>
      </w:r>
      <w:r w:rsidRPr="008C548F">
        <w:rPr>
          <w:rFonts w:ascii="標楷體" w:eastAsia="標楷體" w:hAnsi="標楷體"/>
        </w:rPr>
        <w:t xml:space="preserve">. London, UK: Routledge. </w:t>
      </w:r>
    </w:p>
    <w:p w:rsidR="008C548F" w:rsidRDefault="008C548F" w:rsidP="008C548F">
      <w:pPr>
        <w:ind w:left="480" w:hangingChars="200" w:hanging="480"/>
        <w:jc w:val="both"/>
        <w:rPr>
          <w:rFonts w:ascii="標楷體" w:eastAsia="標楷體" w:hAnsi="標楷體"/>
        </w:rPr>
      </w:pPr>
      <w:r w:rsidRPr="008C548F">
        <w:rPr>
          <w:rFonts w:ascii="標楷體" w:eastAsia="標楷體" w:hAnsi="標楷體"/>
        </w:rPr>
        <w:t xml:space="preserve">Pearson, M., &amp; Wilson, H. (2001). </w:t>
      </w:r>
      <w:r w:rsidRPr="008C548F">
        <w:rPr>
          <w:rFonts w:ascii="標楷體" w:eastAsia="標楷體" w:hAnsi="標楷體"/>
          <w:i/>
          <w:iCs/>
        </w:rPr>
        <w:t>Sandplay and symbol work: Emotional healing and personal development with children, adolescents and adults</w:t>
      </w:r>
      <w:r w:rsidRPr="008C548F">
        <w:rPr>
          <w:rFonts w:ascii="標楷體" w:eastAsia="標楷體" w:hAnsi="標楷體"/>
        </w:rPr>
        <w:t xml:space="preserve">. Melbourne, Australia: Australian Council for Educational Research. </w:t>
      </w:r>
    </w:p>
    <w:p w:rsidR="00B9290D" w:rsidRDefault="00B9290D" w:rsidP="00B9290D">
      <w:pPr>
        <w:ind w:left="480" w:hangingChars="200" w:hanging="480"/>
        <w:jc w:val="both"/>
        <w:rPr>
          <w:rFonts w:ascii="標楷體" w:eastAsia="標楷體" w:hAnsi="標楷體"/>
        </w:rPr>
      </w:pPr>
      <w:r w:rsidRPr="008C548F">
        <w:rPr>
          <w:rFonts w:ascii="標楷體" w:eastAsia="標楷體" w:hAnsi="標楷體" w:hint="eastAsia"/>
        </w:rPr>
        <w:t>王煜凱、吳忻哿（2018）。國民中學專任輔導教師教育實習與實務現場反思。《臺灣教育評論月刊》，7（1），223–226。</w:t>
      </w:r>
    </w:p>
    <w:p w:rsidR="00B9290D" w:rsidRPr="008C548F" w:rsidRDefault="00B9290D" w:rsidP="00B9290D">
      <w:pPr>
        <w:ind w:left="480" w:hangingChars="200" w:hanging="480"/>
        <w:jc w:val="both"/>
        <w:rPr>
          <w:rFonts w:ascii="標楷體" w:eastAsia="標楷體" w:hAnsi="標楷體"/>
        </w:rPr>
      </w:pPr>
      <w:r w:rsidRPr="008C548F">
        <w:rPr>
          <w:rFonts w:ascii="標楷體" w:eastAsia="標楷體" w:hAnsi="標楷體" w:hint="eastAsia"/>
        </w:rPr>
        <w:t>林烝增（2015）。督導中協助新手實習諮商師以立即性技術處理諮商關係中的僵局與挫折。《輔導季刊》，51（1），49–55。</w:t>
      </w:r>
    </w:p>
    <w:p w:rsidR="008C548F" w:rsidRDefault="008C548F" w:rsidP="008C548F">
      <w:pPr>
        <w:ind w:left="480" w:hangingChars="200" w:hanging="480"/>
        <w:jc w:val="both"/>
        <w:rPr>
          <w:rFonts w:ascii="標楷體" w:eastAsia="標楷體" w:hAnsi="標楷體"/>
        </w:rPr>
      </w:pPr>
      <w:r w:rsidRPr="008C548F">
        <w:rPr>
          <w:rFonts w:ascii="標楷體" w:eastAsia="標楷體" w:hAnsi="標楷體" w:hint="eastAsia"/>
        </w:rPr>
        <w:t>姜兆眉、蘇盈儀、蔡妙卿（2023）。國中小新手學校輔導工作者接受自我覺察督導模式之個別督導受督經驗初探。《教育心理學報》，54（3），637–662。</w:t>
      </w:r>
    </w:p>
    <w:p w:rsidR="009C744F" w:rsidRPr="008C548F" w:rsidRDefault="009C744F" w:rsidP="008C548F">
      <w:pPr>
        <w:ind w:left="480" w:hangingChars="200" w:hanging="480"/>
        <w:jc w:val="both"/>
        <w:rPr>
          <w:rFonts w:ascii="標楷體" w:eastAsia="標楷體" w:hAnsi="標楷體"/>
        </w:rPr>
      </w:pPr>
      <w:r w:rsidRPr="009C744F">
        <w:rPr>
          <w:rFonts w:ascii="標楷體" w:eastAsia="標楷體" w:hAnsi="標楷體" w:hint="eastAsia"/>
        </w:rPr>
        <w:t>彭文松、游錦雲（2024）。國小專任輔導教師的專業發展：困境與因應策略。《臺灣教育評論月刊》，13（3），19–25。</w:t>
      </w:r>
    </w:p>
    <w:p w:rsidR="008C548F" w:rsidRDefault="008C548F" w:rsidP="008C548F">
      <w:pPr>
        <w:ind w:left="480" w:hangingChars="200" w:hanging="480"/>
        <w:jc w:val="both"/>
        <w:rPr>
          <w:rFonts w:ascii="標楷體" w:eastAsia="標楷體" w:hAnsi="標楷體"/>
        </w:rPr>
      </w:pPr>
      <w:r w:rsidRPr="008C548F">
        <w:rPr>
          <w:rFonts w:ascii="標楷體" w:eastAsia="標楷體" w:hAnsi="標楷體" w:hint="eastAsia"/>
        </w:rPr>
        <w:t>蔡美香（2022）。區辨模式沙盤督導對受督焦慮與督導效能之影響：十二次沙盤督導之研究。《教育心理學報》，53（3），687–716。</w:t>
      </w:r>
    </w:p>
    <w:p w:rsidR="008C548F" w:rsidRPr="008C548F" w:rsidRDefault="008C548F" w:rsidP="00E4260B">
      <w:pPr>
        <w:ind w:left="480" w:hangingChars="200" w:hanging="480"/>
        <w:jc w:val="both"/>
        <w:rPr>
          <w:rFonts w:ascii="標楷體" w:eastAsia="標楷體" w:hAnsi="標楷體"/>
        </w:rPr>
      </w:pPr>
      <w:r w:rsidRPr="008C548F">
        <w:rPr>
          <w:rFonts w:ascii="標楷體" w:eastAsia="標楷體" w:hAnsi="標楷體" w:hint="eastAsia"/>
        </w:rPr>
        <w:t>賴姳臻、</w:t>
      </w:r>
      <w:r w:rsidR="00185328">
        <w:rPr>
          <w:rFonts w:ascii="標楷體" w:eastAsia="標楷體" w:hAnsi="標楷體" w:hint="eastAsia"/>
        </w:rPr>
        <w:t>陳秀蓉</w:t>
      </w:r>
      <w:r w:rsidRPr="008C548F">
        <w:rPr>
          <w:rFonts w:ascii="標楷體" w:eastAsia="標楷體" w:hAnsi="標楷體" w:hint="eastAsia"/>
        </w:rPr>
        <w:t>（2023</w:t>
      </w:r>
      <w:r w:rsidR="00185328">
        <w:rPr>
          <w:rFonts w:ascii="標楷體" w:eastAsia="標楷體" w:hAnsi="標楷體" w:hint="eastAsia"/>
        </w:rPr>
        <w:t>）。新手諮商督導者的督導意圖與行動之探究。《教育心理學報》</w:t>
      </w:r>
      <w:r w:rsidR="00185328" w:rsidRPr="00185328">
        <w:rPr>
          <w:rFonts w:ascii="TimesNewRomanPSMT" w:eastAsia="DFMingStd-W3" w:hAnsi="TimesNewRomanPSMT" w:cs="TimesNewRomanPSMT"/>
          <w:kern w:val="0"/>
        </w:rPr>
        <w:t>54</w:t>
      </w:r>
      <w:r w:rsidR="00185328" w:rsidRPr="00185328">
        <w:rPr>
          <w:rFonts w:ascii="TimesNewRomanPSMT" w:eastAsia="DFMingStd-W3" w:hAnsi="TimesNewRomanPSMT" w:cs="TimesNewRomanPSMT" w:hint="eastAsia"/>
          <w:kern w:val="0"/>
        </w:rPr>
        <w:t>(4)</w:t>
      </w:r>
      <w:r w:rsidR="00185328" w:rsidRPr="00185328">
        <w:rPr>
          <w:rFonts w:ascii="DFMingStd-W3" w:eastAsia="DFMingStd-W3" w:cs="DFMingStd-W3" w:hint="eastAsia"/>
          <w:kern w:val="0"/>
        </w:rPr>
        <w:t>，</w:t>
      </w:r>
      <w:r w:rsidR="00185328" w:rsidRPr="00185328">
        <w:rPr>
          <w:rFonts w:ascii="TimesNewRomanPSMT" w:eastAsia="DFMingStd-W3" w:hAnsi="TimesNewRomanPSMT" w:cs="TimesNewRomanPSMT"/>
          <w:kern w:val="0"/>
        </w:rPr>
        <w:t>835–862</w:t>
      </w:r>
      <w:r w:rsidRPr="00185328">
        <w:rPr>
          <w:rFonts w:ascii="標楷體" w:eastAsia="標楷體" w:hAnsi="標楷體" w:hint="eastAsia"/>
        </w:rPr>
        <w:t>。</w:t>
      </w:r>
    </w:p>
    <w:sectPr w:rsidR="008C548F" w:rsidRPr="008C54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16" w:rsidRDefault="00070616" w:rsidP="00851642">
      <w:r>
        <w:separator/>
      </w:r>
    </w:p>
  </w:endnote>
  <w:endnote w:type="continuationSeparator" w:id="0">
    <w:p w:rsidR="00070616" w:rsidRDefault="00070616" w:rsidP="0085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MingStd-W3">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16" w:rsidRDefault="00070616" w:rsidP="00851642">
      <w:r>
        <w:separator/>
      </w:r>
    </w:p>
  </w:footnote>
  <w:footnote w:type="continuationSeparator" w:id="0">
    <w:p w:rsidR="00070616" w:rsidRDefault="00070616" w:rsidP="00851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82B"/>
    <w:multiLevelType w:val="hybridMultilevel"/>
    <w:tmpl w:val="C12EA7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183082"/>
    <w:multiLevelType w:val="hybridMultilevel"/>
    <w:tmpl w:val="72221D8C"/>
    <w:lvl w:ilvl="0" w:tplc="DE52873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870FAF"/>
    <w:multiLevelType w:val="multilevel"/>
    <w:tmpl w:val="BBD45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C397A"/>
    <w:multiLevelType w:val="multilevel"/>
    <w:tmpl w:val="6FA2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87110"/>
    <w:multiLevelType w:val="hybridMultilevel"/>
    <w:tmpl w:val="F33A9E98"/>
    <w:lvl w:ilvl="0" w:tplc="26EEFF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A443FA"/>
    <w:multiLevelType w:val="hybridMultilevel"/>
    <w:tmpl w:val="6FE87702"/>
    <w:lvl w:ilvl="0" w:tplc="955429B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BB5574"/>
    <w:multiLevelType w:val="hybridMultilevel"/>
    <w:tmpl w:val="38EE88D0"/>
    <w:lvl w:ilvl="0" w:tplc="80A81F0A">
      <w:start w:val="2"/>
      <w:numFmt w:val="decimal"/>
      <w:lvlText w:val="%1."/>
      <w:lvlJc w:val="left"/>
      <w:pPr>
        <w:ind w:left="360" w:hanging="360"/>
      </w:pPr>
      <w:rPr>
        <w:rFonts w:hint="default"/>
      </w:rPr>
    </w:lvl>
    <w:lvl w:ilvl="1" w:tplc="FB82323C">
      <w:start w:val="2"/>
      <w:numFmt w:val="taiwaneseCountingThousand"/>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773DD9"/>
    <w:multiLevelType w:val="multilevel"/>
    <w:tmpl w:val="C9D0B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7"/>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E7"/>
    <w:rsid w:val="00020EB3"/>
    <w:rsid w:val="00070616"/>
    <w:rsid w:val="00082D57"/>
    <w:rsid w:val="000A2A4D"/>
    <w:rsid w:val="000A62A9"/>
    <w:rsid w:val="000C1FCB"/>
    <w:rsid w:val="000C6269"/>
    <w:rsid w:val="000F27B2"/>
    <w:rsid w:val="00102744"/>
    <w:rsid w:val="00103332"/>
    <w:rsid w:val="001249F4"/>
    <w:rsid w:val="001356B3"/>
    <w:rsid w:val="0014183B"/>
    <w:rsid w:val="00173488"/>
    <w:rsid w:val="00174D86"/>
    <w:rsid w:val="00176110"/>
    <w:rsid w:val="00185328"/>
    <w:rsid w:val="0018539E"/>
    <w:rsid w:val="0019312B"/>
    <w:rsid w:val="001C1F62"/>
    <w:rsid w:val="001D075A"/>
    <w:rsid w:val="001D71CC"/>
    <w:rsid w:val="001E01C2"/>
    <w:rsid w:val="001E0E22"/>
    <w:rsid w:val="001E4617"/>
    <w:rsid w:val="0020766D"/>
    <w:rsid w:val="002233B8"/>
    <w:rsid w:val="002307A9"/>
    <w:rsid w:val="00237AF7"/>
    <w:rsid w:val="00247E0C"/>
    <w:rsid w:val="00277E70"/>
    <w:rsid w:val="002A26F9"/>
    <w:rsid w:val="002A2C56"/>
    <w:rsid w:val="002C6A3D"/>
    <w:rsid w:val="002D4A87"/>
    <w:rsid w:val="002E2014"/>
    <w:rsid w:val="0030631F"/>
    <w:rsid w:val="00307CA9"/>
    <w:rsid w:val="00313B0D"/>
    <w:rsid w:val="003572ED"/>
    <w:rsid w:val="00366ED1"/>
    <w:rsid w:val="003720B2"/>
    <w:rsid w:val="003B02AA"/>
    <w:rsid w:val="003F6A94"/>
    <w:rsid w:val="0040608B"/>
    <w:rsid w:val="00406B0F"/>
    <w:rsid w:val="00414DDD"/>
    <w:rsid w:val="00430503"/>
    <w:rsid w:val="00450AE1"/>
    <w:rsid w:val="00463F6E"/>
    <w:rsid w:val="004C067E"/>
    <w:rsid w:val="004C17CA"/>
    <w:rsid w:val="004C27ED"/>
    <w:rsid w:val="004C7321"/>
    <w:rsid w:val="004E06E3"/>
    <w:rsid w:val="004E5619"/>
    <w:rsid w:val="004F75DE"/>
    <w:rsid w:val="00504EE7"/>
    <w:rsid w:val="00520AC8"/>
    <w:rsid w:val="00527E82"/>
    <w:rsid w:val="00596D25"/>
    <w:rsid w:val="005A4A8E"/>
    <w:rsid w:val="005B1632"/>
    <w:rsid w:val="005C1543"/>
    <w:rsid w:val="005C48E6"/>
    <w:rsid w:val="005C7E0B"/>
    <w:rsid w:val="005E0492"/>
    <w:rsid w:val="005F275D"/>
    <w:rsid w:val="00614E75"/>
    <w:rsid w:val="00631027"/>
    <w:rsid w:val="0063761C"/>
    <w:rsid w:val="00663137"/>
    <w:rsid w:val="006640B3"/>
    <w:rsid w:val="00670B2F"/>
    <w:rsid w:val="00675D13"/>
    <w:rsid w:val="00696725"/>
    <w:rsid w:val="006D40FA"/>
    <w:rsid w:val="006F138F"/>
    <w:rsid w:val="007154F8"/>
    <w:rsid w:val="00720B59"/>
    <w:rsid w:val="00744BD5"/>
    <w:rsid w:val="007472E8"/>
    <w:rsid w:val="007576B6"/>
    <w:rsid w:val="007659FD"/>
    <w:rsid w:val="00771460"/>
    <w:rsid w:val="00792224"/>
    <w:rsid w:val="00794ABD"/>
    <w:rsid w:val="007E67CD"/>
    <w:rsid w:val="0082218D"/>
    <w:rsid w:val="0083142E"/>
    <w:rsid w:val="00851642"/>
    <w:rsid w:val="0085373D"/>
    <w:rsid w:val="00855271"/>
    <w:rsid w:val="00883C8F"/>
    <w:rsid w:val="00885383"/>
    <w:rsid w:val="00895D3B"/>
    <w:rsid w:val="008A0341"/>
    <w:rsid w:val="008C04C4"/>
    <w:rsid w:val="008C39A4"/>
    <w:rsid w:val="008C548F"/>
    <w:rsid w:val="008E4507"/>
    <w:rsid w:val="008E69E4"/>
    <w:rsid w:val="008F019F"/>
    <w:rsid w:val="008F79D4"/>
    <w:rsid w:val="009217AD"/>
    <w:rsid w:val="00945CFD"/>
    <w:rsid w:val="00952CB0"/>
    <w:rsid w:val="00960D22"/>
    <w:rsid w:val="00974B79"/>
    <w:rsid w:val="00986DCF"/>
    <w:rsid w:val="009A562A"/>
    <w:rsid w:val="009B33B0"/>
    <w:rsid w:val="009C744F"/>
    <w:rsid w:val="009D6D8F"/>
    <w:rsid w:val="009D7B8A"/>
    <w:rsid w:val="009E59EB"/>
    <w:rsid w:val="009F0CC7"/>
    <w:rsid w:val="00A41865"/>
    <w:rsid w:val="00A602CC"/>
    <w:rsid w:val="00A81C59"/>
    <w:rsid w:val="00A91309"/>
    <w:rsid w:val="00A9585D"/>
    <w:rsid w:val="00AA77E1"/>
    <w:rsid w:val="00AB6878"/>
    <w:rsid w:val="00AC0EAC"/>
    <w:rsid w:val="00AD07D8"/>
    <w:rsid w:val="00AD64E1"/>
    <w:rsid w:val="00AE12E8"/>
    <w:rsid w:val="00AF4D7E"/>
    <w:rsid w:val="00AF540A"/>
    <w:rsid w:val="00B36462"/>
    <w:rsid w:val="00B533E7"/>
    <w:rsid w:val="00B75594"/>
    <w:rsid w:val="00B9290D"/>
    <w:rsid w:val="00BB2E6E"/>
    <w:rsid w:val="00BD37E8"/>
    <w:rsid w:val="00BD5B18"/>
    <w:rsid w:val="00C00489"/>
    <w:rsid w:val="00C262D1"/>
    <w:rsid w:val="00C6002D"/>
    <w:rsid w:val="00C82B31"/>
    <w:rsid w:val="00CB011D"/>
    <w:rsid w:val="00CB39B2"/>
    <w:rsid w:val="00CC63C5"/>
    <w:rsid w:val="00CC7970"/>
    <w:rsid w:val="00CD42E5"/>
    <w:rsid w:val="00CF5856"/>
    <w:rsid w:val="00CF5A2B"/>
    <w:rsid w:val="00D13591"/>
    <w:rsid w:val="00D4466B"/>
    <w:rsid w:val="00DB0C5D"/>
    <w:rsid w:val="00DD021E"/>
    <w:rsid w:val="00DE2932"/>
    <w:rsid w:val="00E033B4"/>
    <w:rsid w:val="00E27F15"/>
    <w:rsid w:val="00E4260B"/>
    <w:rsid w:val="00E46291"/>
    <w:rsid w:val="00E82310"/>
    <w:rsid w:val="00E85BF2"/>
    <w:rsid w:val="00EB246D"/>
    <w:rsid w:val="00EC2664"/>
    <w:rsid w:val="00EC68EE"/>
    <w:rsid w:val="00EE441A"/>
    <w:rsid w:val="00EF7AD6"/>
    <w:rsid w:val="00F1161E"/>
    <w:rsid w:val="00F3499E"/>
    <w:rsid w:val="00F52FDF"/>
    <w:rsid w:val="00F93857"/>
    <w:rsid w:val="00FA361F"/>
    <w:rsid w:val="00FC738A"/>
    <w:rsid w:val="00FE302B"/>
    <w:rsid w:val="00FF00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EB4B9"/>
  <w15:chartTrackingRefBased/>
  <w15:docId w15:val="{0C10ED71-6122-45C9-B6C3-19A5B852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642"/>
    <w:pPr>
      <w:tabs>
        <w:tab w:val="center" w:pos="4153"/>
        <w:tab w:val="right" w:pos="8306"/>
      </w:tabs>
      <w:snapToGrid w:val="0"/>
    </w:pPr>
    <w:rPr>
      <w:sz w:val="20"/>
      <w:szCs w:val="20"/>
    </w:rPr>
  </w:style>
  <w:style w:type="character" w:customStyle="1" w:styleId="a4">
    <w:name w:val="頁首 字元"/>
    <w:basedOn w:val="a0"/>
    <w:link w:val="a3"/>
    <w:uiPriority w:val="99"/>
    <w:rsid w:val="00851642"/>
    <w:rPr>
      <w:kern w:val="2"/>
    </w:rPr>
  </w:style>
  <w:style w:type="paragraph" w:styleId="a5">
    <w:name w:val="footer"/>
    <w:basedOn w:val="a"/>
    <w:link w:val="a6"/>
    <w:uiPriority w:val="99"/>
    <w:unhideWhenUsed/>
    <w:rsid w:val="00851642"/>
    <w:pPr>
      <w:tabs>
        <w:tab w:val="center" w:pos="4153"/>
        <w:tab w:val="right" w:pos="8306"/>
      </w:tabs>
      <w:snapToGrid w:val="0"/>
    </w:pPr>
    <w:rPr>
      <w:sz w:val="20"/>
      <w:szCs w:val="20"/>
    </w:rPr>
  </w:style>
  <w:style w:type="character" w:customStyle="1" w:styleId="a6">
    <w:name w:val="頁尾 字元"/>
    <w:basedOn w:val="a0"/>
    <w:link w:val="a5"/>
    <w:uiPriority w:val="99"/>
    <w:rsid w:val="00851642"/>
    <w:rPr>
      <w:kern w:val="2"/>
    </w:rPr>
  </w:style>
  <w:style w:type="paragraph" w:styleId="a7">
    <w:name w:val="List Paragraph"/>
    <w:basedOn w:val="a"/>
    <w:uiPriority w:val="34"/>
    <w:qFormat/>
    <w:rsid w:val="00986DCF"/>
    <w:pPr>
      <w:ind w:leftChars="200" w:left="480"/>
    </w:pPr>
  </w:style>
  <w:style w:type="table" w:styleId="a8">
    <w:name w:val="Table Grid"/>
    <w:basedOn w:val="a1"/>
    <w:uiPriority w:val="59"/>
    <w:rsid w:val="0083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C5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1303">
      <w:bodyDiv w:val="1"/>
      <w:marLeft w:val="0"/>
      <w:marRight w:val="0"/>
      <w:marTop w:val="0"/>
      <w:marBottom w:val="0"/>
      <w:divBdr>
        <w:top w:val="none" w:sz="0" w:space="0" w:color="auto"/>
        <w:left w:val="none" w:sz="0" w:space="0" w:color="auto"/>
        <w:bottom w:val="none" w:sz="0" w:space="0" w:color="auto"/>
        <w:right w:val="none" w:sz="0" w:space="0" w:color="auto"/>
      </w:divBdr>
    </w:div>
    <w:div w:id="1675303089">
      <w:bodyDiv w:val="1"/>
      <w:marLeft w:val="0"/>
      <w:marRight w:val="0"/>
      <w:marTop w:val="0"/>
      <w:marBottom w:val="0"/>
      <w:divBdr>
        <w:top w:val="none" w:sz="0" w:space="0" w:color="auto"/>
        <w:left w:val="none" w:sz="0" w:space="0" w:color="auto"/>
        <w:bottom w:val="none" w:sz="0" w:space="0" w:color="auto"/>
        <w:right w:val="none" w:sz="0" w:space="0" w:color="auto"/>
      </w:divBdr>
    </w:div>
    <w:div w:id="1838763248">
      <w:bodyDiv w:val="1"/>
      <w:marLeft w:val="0"/>
      <w:marRight w:val="0"/>
      <w:marTop w:val="0"/>
      <w:marBottom w:val="0"/>
      <w:divBdr>
        <w:top w:val="none" w:sz="0" w:space="0" w:color="auto"/>
        <w:left w:val="none" w:sz="0" w:space="0" w:color="auto"/>
        <w:bottom w:val="none" w:sz="0" w:space="0" w:color="auto"/>
        <w:right w:val="none" w:sz="0" w:space="0" w:color="auto"/>
      </w:divBdr>
      <w:divsChild>
        <w:div w:id="843013110">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7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43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62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0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693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480743">
      <w:bodyDiv w:val="1"/>
      <w:marLeft w:val="0"/>
      <w:marRight w:val="0"/>
      <w:marTop w:val="0"/>
      <w:marBottom w:val="0"/>
      <w:divBdr>
        <w:top w:val="none" w:sz="0" w:space="0" w:color="auto"/>
        <w:left w:val="none" w:sz="0" w:space="0" w:color="auto"/>
        <w:bottom w:val="none" w:sz="0" w:space="0" w:color="auto"/>
        <w:right w:val="none" w:sz="0" w:space="0" w:color="auto"/>
      </w:divBdr>
      <w:divsChild>
        <w:div w:id="115260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146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14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96018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1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4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527D-58CB-4129-B47E-62454801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2025-10-18T06:21:00Z</dcterms:created>
  <dcterms:modified xsi:type="dcterms:W3CDTF">2025-10-18T06:27:00Z</dcterms:modified>
</cp:coreProperties>
</file>