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BF" w:rsidRPr="00961C65" w:rsidRDefault="00DA10D9" w:rsidP="005522E3">
      <w:pPr>
        <w:spacing w:line="500" w:lineRule="exact"/>
        <w:jc w:val="center"/>
        <w:rPr>
          <w:rFonts w:ascii="標楷體" w:eastAsia="標楷體" w:hAnsi="標楷體"/>
          <w:sz w:val="32"/>
          <w:szCs w:val="32"/>
        </w:rPr>
      </w:pPr>
      <w:r>
        <w:rPr>
          <w:rFonts w:ascii="標楷體" w:eastAsia="標楷體" w:hAnsi="標楷體" w:hint="eastAsia"/>
          <w:sz w:val="32"/>
          <w:szCs w:val="32"/>
        </w:rPr>
        <w:t>題目：新手專任輔導教師於</w:t>
      </w:r>
      <w:r w:rsidR="00365ED8">
        <w:rPr>
          <w:rFonts w:ascii="標楷體" w:eastAsia="標楷體" w:hAnsi="標楷體" w:hint="eastAsia"/>
          <w:sz w:val="32"/>
          <w:szCs w:val="32"/>
        </w:rPr>
        <w:t>沙盤督導與非沙盤督導之受督</w:t>
      </w:r>
      <w:bookmarkStart w:id="0" w:name="_GoBack"/>
      <w:bookmarkEnd w:id="0"/>
      <w:r w:rsidR="00D91BBF" w:rsidRPr="00961C65">
        <w:rPr>
          <w:rFonts w:ascii="標楷體" w:eastAsia="標楷體" w:hAnsi="標楷體" w:hint="eastAsia"/>
          <w:sz w:val="32"/>
          <w:szCs w:val="32"/>
        </w:rPr>
        <w:t>焦點初探</w:t>
      </w:r>
      <w:r w:rsidR="00D91BBF" w:rsidRPr="00961C65">
        <w:rPr>
          <w:rFonts w:ascii="標楷體" w:eastAsia="標楷體" w:hAnsi="標楷體"/>
          <w:sz w:val="32"/>
          <w:szCs w:val="32"/>
        </w:rPr>
        <w:t>--</w:t>
      </w:r>
      <w:r w:rsidR="00D91BBF" w:rsidRPr="00961C65">
        <w:rPr>
          <w:rFonts w:ascii="標楷體" w:eastAsia="標楷體" w:hAnsi="標楷體" w:hint="eastAsia"/>
          <w:sz w:val="32"/>
          <w:szCs w:val="32"/>
        </w:rPr>
        <w:t>以七眼督導模式分析為例</w:t>
      </w:r>
    </w:p>
    <w:p w:rsidR="00961C65" w:rsidRDefault="00961C65" w:rsidP="005522E3">
      <w:pPr>
        <w:spacing w:line="400" w:lineRule="exact"/>
        <w:jc w:val="both"/>
        <w:rPr>
          <w:rFonts w:ascii="標楷體" w:eastAsia="標楷體" w:hAnsi="標楷體"/>
          <w:sz w:val="28"/>
          <w:szCs w:val="28"/>
        </w:rPr>
      </w:pPr>
    </w:p>
    <w:p w:rsidR="00961C65" w:rsidRPr="00961C65" w:rsidRDefault="00961C65" w:rsidP="005522E3">
      <w:pPr>
        <w:spacing w:line="400" w:lineRule="exact"/>
        <w:jc w:val="center"/>
        <w:rPr>
          <w:rFonts w:ascii="標楷體" w:eastAsia="標楷體" w:hAnsi="標楷體"/>
          <w:b/>
          <w:sz w:val="28"/>
          <w:szCs w:val="28"/>
        </w:rPr>
      </w:pPr>
      <w:r w:rsidRPr="00961C65">
        <w:rPr>
          <w:rFonts w:ascii="標楷體" w:eastAsia="標楷體" w:hAnsi="標楷體" w:hint="eastAsia"/>
          <w:b/>
          <w:sz w:val="28"/>
          <w:szCs w:val="28"/>
        </w:rPr>
        <w:t>摘 要</w:t>
      </w:r>
    </w:p>
    <w:p w:rsidR="00D91BBF" w:rsidRPr="00D91BBF" w:rsidRDefault="00D91BBF" w:rsidP="005522E3">
      <w:pPr>
        <w:jc w:val="both"/>
        <w:rPr>
          <w:rFonts w:ascii="標楷體" w:eastAsia="標楷體" w:hAnsi="標楷體"/>
          <w:b/>
          <w:bCs/>
        </w:rPr>
      </w:pPr>
    </w:p>
    <w:p w:rsidR="00D124BA" w:rsidRPr="00D124BA" w:rsidRDefault="00D124BA" w:rsidP="005522E3">
      <w:pPr>
        <w:jc w:val="both"/>
        <w:rPr>
          <w:rFonts w:ascii="標楷體" w:eastAsia="標楷體" w:hAnsi="標楷體"/>
        </w:rPr>
      </w:pPr>
      <w:r w:rsidRPr="00D124BA">
        <w:rPr>
          <w:rFonts w:ascii="標楷體" w:eastAsia="標楷體" w:hAnsi="標楷體"/>
          <w:b/>
          <w:bCs/>
        </w:rPr>
        <w:t>一、研究背景與動機</w:t>
      </w:r>
      <w:r w:rsidRPr="00D124BA">
        <w:rPr>
          <w:rFonts w:ascii="標楷體" w:eastAsia="標楷體" w:hAnsi="標楷體"/>
        </w:rPr>
        <w:br/>
      </w:r>
      <w:r w:rsidR="00F66C22">
        <w:rPr>
          <w:rFonts w:ascii="標楷體" w:eastAsia="標楷體" w:hAnsi="標楷體" w:hint="eastAsia"/>
        </w:rPr>
        <w:t xml:space="preserve">    </w:t>
      </w:r>
      <w:r w:rsidRPr="00D124BA">
        <w:rPr>
          <w:rFonts w:ascii="標楷體" w:eastAsia="標楷體" w:hAnsi="標楷體"/>
        </w:rPr>
        <w:t>新手專任輔導教師（以下簡稱新手專輔）在教育現場初期，經常面臨角色模糊、理論與實務落差、專業孤立與情緒壓力等多重挑戰。雖然我國已建立制度性團體與同儕督導支持，但研究顯示這些形式難以充分回應新手專輔的個別化需求與臨床困境（姜兆眉等，2023）。此外，專業實習階段多以教學訓練為主，對諮商輔導實務的實際銜接與支援相對薄弱，使新手專輔面臨專業認同尚未穩定、挫折耐受力低與情緒支持不足等困境。根據相關研究，個別型臨床督導能有效促進新手輔導人員的專業發展、自我反思與穩定性（Zalewski et al., 2024）。七眼督導模型（Seven-Eyed Model of Supervision</w:t>
      </w:r>
      <w:r w:rsidR="005522E3">
        <w:rPr>
          <w:rFonts w:ascii="標楷體" w:eastAsia="標楷體" w:hAnsi="標楷體"/>
        </w:rPr>
        <w:t>）</w:t>
      </w:r>
      <w:r w:rsidR="005522E3">
        <w:rPr>
          <w:rFonts w:ascii="標楷體" w:eastAsia="標楷體" w:hAnsi="標楷體" w:hint="eastAsia"/>
        </w:rPr>
        <w:t>具有一套</w:t>
      </w:r>
      <w:r w:rsidRPr="00D124BA">
        <w:rPr>
          <w:rFonts w:ascii="標楷體" w:eastAsia="標楷體" w:hAnsi="標楷體"/>
        </w:rPr>
        <w:t>整合關係取向與系統觀的反思架構，強調督導歷程中案主、受督者、督導者三者互動及其系統脈絡的七種面向，有助於全面理解與引導督導歷程。而沙盤技術作為一種象徵性、非語言性的創造性媒材，已證實可促進受督者情緒覺察與洞察，減緩督導焦慮與提升概念化能力（Garrett, 2017；Lahad, 2000），但目前尚缺乏其應用於新手專輔個別督導的實證研究。基於上述理論與實務觀察，本研究嘗試結合七眼督導模型與沙盤媒材，探索新手專輔於沙盤與非沙盤歷程中之參與焦點與受益經驗，提供更多元的督導實務設計依據。</w:t>
      </w:r>
    </w:p>
    <w:p w:rsidR="00D124BA" w:rsidRPr="00D124BA" w:rsidRDefault="00D124BA" w:rsidP="005522E3">
      <w:pPr>
        <w:jc w:val="both"/>
        <w:rPr>
          <w:rFonts w:ascii="標楷體" w:eastAsia="標楷體" w:hAnsi="標楷體"/>
        </w:rPr>
      </w:pPr>
      <w:r w:rsidRPr="00D124BA">
        <w:rPr>
          <w:rFonts w:ascii="標楷體" w:eastAsia="標楷體" w:hAnsi="標楷體"/>
          <w:b/>
          <w:bCs/>
        </w:rPr>
        <w:t>二、研究方法與對象</w:t>
      </w:r>
      <w:r w:rsidRPr="00D124BA">
        <w:rPr>
          <w:rFonts w:ascii="標楷體" w:eastAsia="標楷體" w:hAnsi="標楷體"/>
        </w:rPr>
        <w:br/>
      </w:r>
      <w:r w:rsidR="00F66C22">
        <w:rPr>
          <w:rFonts w:ascii="標楷體" w:eastAsia="標楷體" w:hAnsi="標楷體" w:hint="eastAsia"/>
        </w:rPr>
        <w:t xml:space="preserve">    </w:t>
      </w:r>
      <w:r w:rsidRPr="00D124BA">
        <w:rPr>
          <w:rFonts w:ascii="標楷體" w:eastAsia="標楷體" w:hAnsi="標楷體"/>
        </w:rPr>
        <w:t>本研究採用質性個案研究法，結合比較型設計，分析兩位受督者（分別為一位任教三年內之新手專輔與一位實習輔導教師）在參與七次個別督導歷程中，於沙盤（2–3次）與非沙盤（4–5次）兩種形式中的語句內容與視角分布差異。研究者亦為督導者，具十年以上現場輔導實務經驗，並接受博士層級督導訓練。</w:t>
      </w:r>
      <w:r w:rsidR="009B64E4">
        <w:rPr>
          <w:rFonts w:ascii="標楷體" w:eastAsia="標楷體" w:hAnsi="標楷體"/>
        </w:rPr>
        <w:t>資料蒐集包含錄音逐字稿、沙</w:t>
      </w:r>
      <w:r w:rsidR="009B64E4">
        <w:rPr>
          <w:rFonts w:ascii="標楷體" w:eastAsia="標楷體" w:hAnsi="標楷體" w:hint="eastAsia"/>
        </w:rPr>
        <w:t>盤</w:t>
      </w:r>
      <w:r w:rsidRPr="00D124BA">
        <w:rPr>
          <w:rFonts w:ascii="標楷體" w:eastAsia="標楷體" w:hAnsi="標楷體"/>
        </w:rPr>
        <w:t>作品影像、督導備忘錄與反思日誌，逐字稿經分類編碼並依七眼模型進行視角標註與頻率統計，分析單位為語意明確語句。研究亦保留沙盤操作背景脈絡與象徵語彙之補充說明，並進行三角檢核與反思記錄以提升信效度與詮釋透明度。</w:t>
      </w:r>
    </w:p>
    <w:p w:rsidR="00D124BA" w:rsidRPr="00D124BA" w:rsidRDefault="00D124BA" w:rsidP="005522E3">
      <w:pPr>
        <w:jc w:val="both"/>
        <w:rPr>
          <w:rFonts w:ascii="標楷體" w:eastAsia="標楷體" w:hAnsi="標楷體"/>
        </w:rPr>
      </w:pPr>
      <w:r w:rsidRPr="00D124BA">
        <w:rPr>
          <w:rFonts w:ascii="標楷體" w:eastAsia="標楷體" w:hAnsi="標楷體"/>
          <w:b/>
          <w:bCs/>
        </w:rPr>
        <w:t>三、研究結果</w:t>
      </w:r>
      <w:r w:rsidRPr="00D124BA">
        <w:rPr>
          <w:rFonts w:ascii="標楷體" w:eastAsia="標楷體" w:hAnsi="標楷體"/>
        </w:rPr>
        <w:br/>
      </w:r>
      <w:r w:rsidR="00F66C22">
        <w:rPr>
          <w:rFonts w:ascii="標楷體" w:eastAsia="標楷體" w:hAnsi="標楷體" w:hint="eastAsia"/>
        </w:rPr>
        <w:t xml:space="preserve">    </w:t>
      </w:r>
      <w:r w:rsidRPr="00D124BA">
        <w:rPr>
          <w:rFonts w:ascii="標楷體" w:eastAsia="標楷體" w:hAnsi="標楷體"/>
        </w:rPr>
        <w:t>分析結果顯示：</w:t>
      </w:r>
    </w:p>
    <w:p w:rsidR="00D124BA" w:rsidRPr="00D124BA" w:rsidRDefault="00D124BA" w:rsidP="005522E3">
      <w:pPr>
        <w:numPr>
          <w:ilvl w:val="0"/>
          <w:numId w:val="1"/>
        </w:numPr>
        <w:jc w:val="both"/>
        <w:rPr>
          <w:rFonts w:ascii="標楷體" w:eastAsia="標楷體" w:hAnsi="標楷體"/>
        </w:rPr>
      </w:pPr>
      <w:r w:rsidRPr="00D124BA">
        <w:rPr>
          <w:rFonts w:ascii="標楷體" w:eastAsia="標楷體" w:hAnsi="標楷體"/>
          <w:b/>
          <w:bCs/>
        </w:rPr>
        <w:t>沙盤歷程中呈現出更顯著的個別差異性</w:t>
      </w:r>
      <w:r w:rsidRPr="00D124BA">
        <w:rPr>
          <w:rFonts w:ascii="標楷體" w:eastAsia="標楷體" w:hAnsi="標楷體"/>
        </w:rPr>
        <w:t>：受督者A焦點主要集中於案主（Eye 1, 29.9%）與自我反思（Eye 4, 29%），受督者B則集中於策略應用（Eye 2, 17.1%）與自我覺察（Eye 4, 34.3%），顯示沙盤有助於喚起個人化的專業表達與內在經驗的象徵外化。</w:t>
      </w:r>
    </w:p>
    <w:p w:rsidR="00D124BA" w:rsidRPr="00D124BA" w:rsidRDefault="00D124BA" w:rsidP="005522E3">
      <w:pPr>
        <w:numPr>
          <w:ilvl w:val="0"/>
          <w:numId w:val="1"/>
        </w:numPr>
        <w:jc w:val="both"/>
        <w:rPr>
          <w:rFonts w:ascii="標楷體" w:eastAsia="標楷體" w:hAnsi="標楷體"/>
        </w:rPr>
      </w:pPr>
      <w:r w:rsidRPr="00D124BA">
        <w:rPr>
          <w:rFonts w:ascii="標楷體" w:eastAsia="標楷體" w:hAnsi="標楷體"/>
          <w:b/>
          <w:bCs/>
        </w:rPr>
        <w:t>非沙盤歷程則呈現較為集中與一致的焦點分布</w:t>
      </w:r>
      <w:r w:rsidRPr="00D124BA">
        <w:rPr>
          <w:rFonts w:ascii="標楷體" w:eastAsia="標楷體" w:hAnsi="標楷體"/>
        </w:rPr>
        <w:t>：兩位受督者皆以Eye 1</w:t>
      </w:r>
      <w:r w:rsidRPr="00D124BA">
        <w:rPr>
          <w:rFonts w:ascii="標楷體" w:eastAsia="標楷體" w:hAnsi="標楷體"/>
        </w:rPr>
        <w:lastRenderedPageBreak/>
        <w:t>（案主）、Eye 4（自我）與Eye 6（督導者反應）為主，顯示語言性督導容易集中在較為熟悉的話語框架中，</w:t>
      </w:r>
      <w:r w:rsidR="009B64E4">
        <w:rPr>
          <w:rFonts w:ascii="標楷體" w:eastAsia="標楷體" w:hAnsi="標楷體" w:hint="eastAsia"/>
        </w:rPr>
        <w:t>針對所述問題封閉式探討，</w:t>
      </w:r>
      <w:r w:rsidRPr="00D124BA">
        <w:rPr>
          <w:rFonts w:ascii="標楷體" w:eastAsia="標楷體" w:hAnsi="標楷體"/>
        </w:rPr>
        <w:t>缺乏多元視角開展的契機。</w:t>
      </w:r>
    </w:p>
    <w:p w:rsidR="00D124BA" w:rsidRPr="00D124BA" w:rsidRDefault="00D124BA" w:rsidP="005522E3">
      <w:pPr>
        <w:numPr>
          <w:ilvl w:val="0"/>
          <w:numId w:val="1"/>
        </w:numPr>
        <w:jc w:val="both"/>
        <w:rPr>
          <w:rFonts w:ascii="標楷體" w:eastAsia="標楷體" w:hAnsi="標楷體"/>
        </w:rPr>
      </w:pPr>
      <w:r w:rsidRPr="00D124BA">
        <w:rPr>
          <w:rFonts w:ascii="標楷體" w:eastAsia="標楷體" w:hAnsi="標楷體"/>
          <w:b/>
          <w:bCs/>
        </w:rPr>
        <w:t>低比例視角顯示系統性與關係性視野不足</w:t>
      </w:r>
      <w:r w:rsidRPr="00D124BA">
        <w:rPr>
          <w:rFonts w:ascii="標楷體" w:eastAsia="標楷體" w:hAnsi="標楷體"/>
        </w:rPr>
        <w:t>：Eye 3（案主–受督關係）、Eye 5（受督–督導關係）、Eye 7（系統脈絡）皆在兩種歷程中占比偏低，顯示新手專輔較少從多層次關係或結構觀點進行思考與表達，與其初期角色建構與理論理解尚在發展中的階段相符。</w:t>
      </w:r>
    </w:p>
    <w:p w:rsidR="00D124BA" w:rsidRPr="00D124BA" w:rsidRDefault="00D124BA" w:rsidP="005522E3">
      <w:pPr>
        <w:numPr>
          <w:ilvl w:val="0"/>
          <w:numId w:val="1"/>
        </w:numPr>
        <w:jc w:val="both"/>
        <w:rPr>
          <w:rFonts w:ascii="標楷體" w:eastAsia="標楷體" w:hAnsi="標楷體"/>
        </w:rPr>
      </w:pPr>
      <w:r w:rsidRPr="00D124BA">
        <w:rPr>
          <w:rFonts w:ascii="標楷體" w:eastAsia="標楷體" w:hAnsi="標楷體"/>
          <w:b/>
          <w:bCs/>
        </w:rPr>
        <w:t>主觀受益層面</w:t>
      </w:r>
      <w:r w:rsidRPr="00D124BA">
        <w:rPr>
          <w:rFonts w:ascii="標楷體" w:eastAsia="標楷體" w:hAnsi="標楷體"/>
        </w:rPr>
        <w:t>：沙盤督導歷程被受督者回饋為能促進對個案的整體理解、支持情緒釋放並激發洞察，象徵物的投射與解釋亦有助於自我角色與位置的釐清；非沙盤歷程則在歷程討論與介入策略的釐清上較具優勢，角色扮演</w:t>
      </w:r>
      <w:r w:rsidR="00123FFE">
        <w:rPr>
          <w:rFonts w:ascii="標楷體" w:eastAsia="標楷體" w:hAnsi="標楷體" w:hint="eastAsia"/>
        </w:rPr>
        <w:t>及諮商對話演練</w:t>
      </w:r>
      <w:r w:rsidRPr="00D124BA">
        <w:rPr>
          <w:rFonts w:ascii="標楷體" w:eastAsia="標楷體" w:hAnsi="標楷體"/>
        </w:rPr>
        <w:t>等技巧亦增進情緒共感與技術學習的即時性。</w:t>
      </w:r>
    </w:p>
    <w:p w:rsidR="00D124BA" w:rsidRPr="00D124BA" w:rsidRDefault="00D124BA" w:rsidP="005522E3">
      <w:pPr>
        <w:jc w:val="both"/>
        <w:rPr>
          <w:rFonts w:ascii="標楷體" w:eastAsia="標楷體" w:hAnsi="標楷體"/>
        </w:rPr>
      </w:pPr>
      <w:r w:rsidRPr="00D124BA">
        <w:rPr>
          <w:rFonts w:ascii="標楷體" w:eastAsia="標楷體" w:hAnsi="標楷體"/>
          <w:b/>
          <w:bCs/>
        </w:rPr>
        <w:t>四、討論與建議</w:t>
      </w:r>
      <w:r w:rsidRPr="00D124BA">
        <w:rPr>
          <w:rFonts w:ascii="標楷體" w:eastAsia="標楷體" w:hAnsi="標楷體"/>
        </w:rPr>
        <w:br/>
      </w:r>
      <w:r w:rsidR="00F66C22">
        <w:rPr>
          <w:rFonts w:ascii="標楷體" w:eastAsia="標楷體" w:hAnsi="標楷體" w:hint="eastAsia"/>
        </w:rPr>
        <w:t xml:space="preserve">    </w:t>
      </w:r>
      <w:r w:rsidRPr="00D124BA">
        <w:rPr>
          <w:rFonts w:ascii="標楷體" w:eastAsia="標楷體" w:hAnsi="標楷體"/>
        </w:rPr>
        <w:t>本研究發現沙盤督導具備高度的個別化潛能與表達開展能力，能觸發受督者多元面向的反思與專業探索，尤其對於尚未發展出穩定理論框架的新手專輔而言，是有效的輔助媒材。而非沙盤督導則因語言結構較明確，較適合針對技術與歷程進行系統性梳理與回饋，兩者可互補使用以達最大支持效益。建議在實務應用上：</w:t>
      </w:r>
    </w:p>
    <w:p w:rsidR="00D124BA" w:rsidRPr="00D124BA" w:rsidRDefault="00D124BA" w:rsidP="005522E3">
      <w:pPr>
        <w:numPr>
          <w:ilvl w:val="0"/>
          <w:numId w:val="2"/>
        </w:numPr>
        <w:jc w:val="both"/>
        <w:rPr>
          <w:rFonts w:ascii="標楷體" w:eastAsia="標楷體" w:hAnsi="標楷體"/>
        </w:rPr>
      </w:pPr>
      <w:r w:rsidRPr="00D124BA">
        <w:rPr>
          <w:rFonts w:ascii="標楷體" w:eastAsia="標楷體" w:hAnsi="標楷體"/>
        </w:rPr>
        <w:t>督導者可依受督者風格與階段選擇適切媒材與介入方式，並在沙盤歷程中鼓勵探索多元視角，特別是關係性（Eye 3, 5）與系統性（Eye 7）層面。</w:t>
      </w:r>
    </w:p>
    <w:p w:rsidR="00D124BA" w:rsidRPr="00D124BA" w:rsidRDefault="00D124BA" w:rsidP="005522E3">
      <w:pPr>
        <w:numPr>
          <w:ilvl w:val="0"/>
          <w:numId w:val="2"/>
        </w:numPr>
        <w:jc w:val="both"/>
        <w:rPr>
          <w:rFonts w:ascii="標楷體" w:eastAsia="標楷體" w:hAnsi="標楷體"/>
        </w:rPr>
      </w:pPr>
      <w:r w:rsidRPr="00D124BA">
        <w:rPr>
          <w:rFonts w:ascii="標楷體" w:eastAsia="標楷體" w:hAnsi="標楷體"/>
        </w:rPr>
        <w:t>於新手專輔訓練階段引入七眼模型作為反思工具，搭配創造性媒材如沙盤，拓展其思維彈性與語言表達範疇。</w:t>
      </w:r>
    </w:p>
    <w:p w:rsidR="00D124BA" w:rsidRPr="00D124BA" w:rsidRDefault="006E3845" w:rsidP="005522E3">
      <w:pPr>
        <w:numPr>
          <w:ilvl w:val="0"/>
          <w:numId w:val="2"/>
        </w:numPr>
        <w:jc w:val="both"/>
        <w:rPr>
          <w:rFonts w:ascii="標楷體" w:eastAsia="標楷體" w:hAnsi="標楷體"/>
        </w:rPr>
      </w:pPr>
      <w:r>
        <w:rPr>
          <w:rFonts w:ascii="標楷體" w:eastAsia="標楷體" w:hAnsi="標楷體"/>
        </w:rPr>
        <w:t>建議未來研究擴大樣本數與</w:t>
      </w:r>
      <w:r>
        <w:rPr>
          <w:rFonts w:ascii="標楷體" w:eastAsia="標楷體" w:hAnsi="標楷體" w:hint="eastAsia"/>
        </w:rPr>
        <w:t>專輔發展</w:t>
      </w:r>
      <w:r>
        <w:rPr>
          <w:rFonts w:ascii="標楷體" w:eastAsia="標楷體" w:hAnsi="標楷體"/>
        </w:rPr>
        <w:t>階段變項，並可進一步發展多焦點語</w:t>
      </w:r>
      <w:r>
        <w:rPr>
          <w:rFonts w:ascii="標楷體" w:eastAsia="標楷體" w:hAnsi="標楷體" w:hint="eastAsia"/>
        </w:rPr>
        <w:t>句之</w:t>
      </w:r>
      <w:r>
        <w:rPr>
          <w:rFonts w:ascii="標楷體" w:eastAsia="標楷體" w:hAnsi="標楷體"/>
        </w:rPr>
        <w:t>分析法，以呈現語言內容的多層意涵與</w:t>
      </w:r>
      <w:r>
        <w:rPr>
          <w:rFonts w:ascii="標楷體" w:eastAsia="標楷體" w:hAnsi="標楷體" w:hint="eastAsia"/>
        </w:rPr>
        <w:t>內在動</w:t>
      </w:r>
      <w:r w:rsidR="00D124BA" w:rsidRPr="00D124BA">
        <w:rPr>
          <w:rFonts w:ascii="標楷體" w:eastAsia="標楷體" w:hAnsi="標楷體"/>
        </w:rPr>
        <w:t>力。</w:t>
      </w:r>
    </w:p>
    <w:p w:rsidR="00D124BA" w:rsidRPr="00D124BA" w:rsidRDefault="00D124BA" w:rsidP="005522E3">
      <w:pPr>
        <w:jc w:val="both"/>
        <w:rPr>
          <w:rFonts w:ascii="標楷體" w:eastAsia="標楷體" w:hAnsi="標楷體"/>
        </w:rPr>
      </w:pPr>
      <w:r w:rsidRPr="00D124BA">
        <w:rPr>
          <w:rFonts w:ascii="標楷體" w:eastAsia="標楷體" w:hAnsi="標楷體"/>
          <w:b/>
          <w:bCs/>
        </w:rPr>
        <w:t>五、結論</w:t>
      </w:r>
      <w:r w:rsidRPr="00D124BA">
        <w:rPr>
          <w:rFonts w:ascii="標楷體" w:eastAsia="標楷體" w:hAnsi="標楷體"/>
        </w:rPr>
        <w:br/>
      </w:r>
      <w:r w:rsidR="00F66C22">
        <w:rPr>
          <w:rFonts w:ascii="標楷體" w:eastAsia="標楷體" w:hAnsi="標楷體" w:hint="eastAsia"/>
        </w:rPr>
        <w:t xml:space="preserve">    </w:t>
      </w:r>
      <w:r w:rsidRPr="00D124BA">
        <w:rPr>
          <w:rFonts w:ascii="標楷體" w:eastAsia="標楷體" w:hAnsi="標楷體"/>
        </w:rPr>
        <w:t>本研究初步驗證七眼督導模型與沙盤技術結合應用於新手專輔督導的可行性與效益。透過質性視角分析，本研究指出沙盤歷程具有提升專業覺察、促進象徵性整合與鼓勵多元參與焦點的潛力，對當前偏向制式與語言導向的督導實務提供一創新與可行的設計方向。</w:t>
      </w:r>
    </w:p>
    <w:p w:rsidR="00173488" w:rsidRPr="00D124BA" w:rsidRDefault="00173488" w:rsidP="005522E3">
      <w:pPr>
        <w:jc w:val="both"/>
        <w:rPr>
          <w:rFonts w:ascii="標楷體" w:eastAsia="標楷體" w:hAnsi="標楷體"/>
        </w:rPr>
      </w:pPr>
    </w:p>
    <w:sectPr w:rsidR="00173488" w:rsidRPr="00D124B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94" w:rsidRDefault="008C6394" w:rsidP="00851642">
      <w:r>
        <w:separator/>
      </w:r>
    </w:p>
  </w:endnote>
  <w:endnote w:type="continuationSeparator" w:id="0">
    <w:p w:rsidR="008C6394" w:rsidRDefault="008C6394" w:rsidP="0085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94" w:rsidRDefault="008C6394" w:rsidP="00851642">
      <w:r>
        <w:separator/>
      </w:r>
    </w:p>
  </w:footnote>
  <w:footnote w:type="continuationSeparator" w:id="0">
    <w:p w:rsidR="008C6394" w:rsidRDefault="008C6394" w:rsidP="00851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410"/>
    <w:multiLevelType w:val="multilevel"/>
    <w:tmpl w:val="26C4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70475"/>
    <w:multiLevelType w:val="multilevel"/>
    <w:tmpl w:val="3906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BA"/>
    <w:rsid w:val="00117BFD"/>
    <w:rsid w:val="00123FFE"/>
    <w:rsid w:val="00173488"/>
    <w:rsid w:val="002233B8"/>
    <w:rsid w:val="002C6A3D"/>
    <w:rsid w:val="00365ED8"/>
    <w:rsid w:val="004642F9"/>
    <w:rsid w:val="005522E3"/>
    <w:rsid w:val="006E3845"/>
    <w:rsid w:val="00851642"/>
    <w:rsid w:val="00895D3B"/>
    <w:rsid w:val="008A0341"/>
    <w:rsid w:val="008C6394"/>
    <w:rsid w:val="009217AD"/>
    <w:rsid w:val="00961C65"/>
    <w:rsid w:val="009B64E4"/>
    <w:rsid w:val="009F0CC7"/>
    <w:rsid w:val="00B36462"/>
    <w:rsid w:val="00D124BA"/>
    <w:rsid w:val="00D91BBF"/>
    <w:rsid w:val="00DA10D9"/>
    <w:rsid w:val="00E85BF2"/>
    <w:rsid w:val="00F66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676FE"/>
  <w15:chartTrackingRefBased/>
  <w15:docId w15:val="{5F32EB75-2F0B-4269-B198-3AF46913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1642"/>
    <w:pPr>
      <w:tabs>
        <w:tab w:val="center" w:pos="4153"/>
        <w:tab w:val="right" w:pos="8306"/>
      </w:tabs>
      <w:snapToGrid w:val="0"/>
    </w:pPr>
    <w:rPr>
      <w:sz w:val="20"/>
      <w:szCs w:val="20"/>
    </w:rPr>
  </w:style>
  <w:style w:type="character" w:customStyle="1" w:styleId="a4">
    <w:name w:val="頁首 字元"/>
    <w:basedOn w:val="a0"/>
    <w:link w:val="a3"/>
    <w:uiPriority w:val="99"/>
    <w:semiHidden/>
    <w:rsid w:val="00851642"/>
    <w:rPr>
      <w:kern w:val="2"/>
    </w:rPr>
  </w:style>
  <w:style w:type="paragraph" w:styleId="a5">
    <w:name w:val="footer"/>
    <w:basedOn w:val="a"/>
    <w:link w:val="a6"/>
    <w:uiPriority w:val="99"/>
    <w:semiHidden/>
    <w:unhideWhenUsed/>
    <w:rsid w:val="00851642"/>
    <w:pPr>
      <w:tabs>
        <w:tab w:val="center" w:pos="4153"/>
        <w:tab w:val="right" w:pos="8306"/>
      </w:tabs>
      <w:snapToGrid w:val="0"/>
    </w:pPr>
    <w:rPr>
      <w:sz w:val="20"/>
      <w:szCs w:val="20"/>
    </w:rPr>
  </w:style>
  <w:style w:type="character" w:customStyle="1" w:styleId="a6">
    <w:name w:val="頁尾 字元"/>
    <w:basedOn w:val="a0"/>
    <w:link w:val="a5"/>
    <w:uiPriority w:val="99"/>
    <w:semiHidden/>
    <w:rsid w:val="0085164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55946">
      <w:bodyDiv w:val="1"/>
      <w:marLeft w:val="0"/>
      <w:marRight w:val="0"/>
      <w:marTop w:val="0"/>
      <w:marBottom w:val="0"/>
      <w:divBdr>
        <w:top w:val="none" w:sz="0" w:space="0" w:color="auto"/>
        <w:left w:val="none" w:sz="0" w:space="0" w:color="auto"/>
        <w:bottom w:val="none" w:sz="0" w:space="0" w:color="auto"/>
        <w:right w:val="none" w:sz="0" w:space="0" w:color="auto"/>
      </w:divBdr>
    </w:div>
    <w:div w:id="19168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928E-FA84-42D3-806E-FFAC64A1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2025-10-18T06:10:00Z</dcterms:created>
  <dcterms:modified xsi:type="dcterms:W3CDTF">2025-10-18T06:26:00Z</dcterms:modified>
</cp:coreProperties>
</file>