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2FE7" w14:textId="10D85240" w:rsidR="006950BA" w:rsidRDefault="006950BA" w:rsidP="002C6E14">
      <w:pPr>
        <w:rPr>
          <w:rFonts w:ascii="新細明體" w:eastAsia="新細明體" w:hAnsi="新細明體"/>
          <w:b/>
          <w:bCs/>
          <w:sz w:val="28"/>
          <w:szCs w:val="28"/>
        </w:rPr>
      </w:pPr>
      <w:r w:rsidRPr="006950BA">
        <w:rPr>
          <w:rFonts w:ascii="新細明體" w:eastAsia="新細明體" w:hAnsi="新細明體"/>
          <w:b/>
          <w:bCs/>
          <w:sz w:val="28"/>
          <w:szCs w:val="28"/>
        </w:rPr>
        <w:t>SAFE-Home 團體諮商模式：促進寄生單身／NEET 青年外部功能的整合性團體</w:t>
      </w:r>
      <w:r w:rsidR="00F37EA3">
        <w:rPr>
          <w:rFonts w:ascii="新細明體" w:eastAsia="新細明體" w:hAnsi="新細明體" w:hint="eastAsia"/>
          <w:b/>
          <w:bCs/>
          <w:sz w:val="28"/>
          <w:szCs w:val="28"/>
        </w:rPr>
        <w:t>諮商</w:t>
      </w:r>
      <w:r w:rsidRPr="006950BA">
        <w:rPr>
          <w:rFonts w:ascii="新細明體" w:eastAsia="新細明體" w:hAnsi="新細明體"/>
          <w:b/>
          <w:bCs/>
          <w:sz w:val="28"/>
          <w:szCs w:val="28"/>
        </w:rPr>
        <w:t>架構</w:t>
      </w:r>
    </w:p>
    <w:p w14:paraId="6E01855C" w14:textId="4608A8EC" w:rsidR="006950BA" w:rsidRPr="006950BA" w:rsidRDefault="006950BA" w:rsidP="002C6E14">
      <w:pPr>
        <w:rPr>
          <w:rFonts w:ascii="新細明體" w:eastAsia="新細明體" w:hAnsi="新細明體"/>
        </w:rPr>
      </w:pPr>
      <w:r w:rsidRPr="006950BA">
        <w:rPr>
          <w:rFonts w:ascii="新細明體" w:eastAsia="新細明體" w:hAnsi="新細明體"/>
          <w:b/>
          <w:bCs/>
        </w:rPr>
        <w:t>研究目的與目標</w:t>
      </w:r>
      <w:r w:rsidRPr="006950BA">
        <w:rPr>
          <w:rFonts w:ascii="新細明體" w:eastAsia="新細明體" w:hAnsi="新細明體"/>
        </w:rPr>
        <w:br/>
        <w:t>本研究旨在針對東亞社會中長期居家依附與社會退縮的青年族群（如寄生單身與 NEET），提出一個整合神經生理、家庭動力與文化脈絡的團體諮商模式</w:t>
      </w:r>
      <w:proofErr w:type="gramStart"/>
      <w:r w:rsidRPr="006950BA">
        <w:rPr>
          <w:rFonts w:ascii="新細明體" w:eastAsia="新細明體" w:hAnsi="新細明體"/>
        </w:rPr>
        <w:t>——</w:t>
      </w:r>
      <w:proofErr w:type="gramEnd"/>
      <w:r w:rsidRPr="006950BA">
        <w:rPr>
          <w:rFonts w:ascii="新細明體" w:eastAsia="新細明體" w:hAnsi="新細明體"/>
        </w:rPr>
        <w:t>SAFE-Home 模式。研究目標包括：（1）</w:t>
      </w:r>
      <w:proofErr w:type="gramStart"/>
      <w:r w:rsidRPr="006950BA">
        <w:rPr>
          <w:rFonts w:ascii="新細明體" w:eastAsia="新細明體" w:hAnsi="新細明體"/>
        </w:rPr>
        <w:t>釐</w:t>
      </w:r>
      <w:proofErr w:type="gramEnd"/>
      <w:r w:rsidRPr="006950BA">
        <w:rPr>
          <w:rFonts w:ascii="新細明體" w:eastAsia="新細明體" w:hAnsi="新細明體"/>
        </w:rPr>
        <w:t>清現有文獻對於</w:t>
      </w:r>
      <w:proofErr w:type="gramStart"/>
      <w:r w:rsidRPr="006950BA">
        <w:rPr>
          <w:rFonts w:ascii="新細明體" w:eastAsia="新細明體" w:hAnsi="新細明體"/>
        </w:rPr>
        <w:t>不確定性耐受</w:t>
      </w:r>
      <w:proofErr w:type="gramEnd"/>
      <w:r w:rsidRPr="006950BA">
        <w:rPr>
          <w:rFonts w:ascii="新細明體" w:eastAsia="新細明體" w:hAnsi="新細明體"/>
        </w:rPr>
        <w:t>、自律神經調節、家庭依附與文化壓力交互作用的缺口；（2）建構可操作化且可驗證的團體介入模式；（3）為退縮青年設計具臨床適用性的團體歷程，促進其社會功能恢復。</w:t>
      </w:r>
    </w:p>
    <w:p w14:paraId="4B660F76" w14:textId="5BB627DC" w:rsidR="006950BA" w:rsidRDefault="006950BA" w:rsidP="002C6E14">
      <w:pPr>
        <w:rPr>
          <w:rFonts w:ascii="新細明體" w:eastAsia="新細明體" w:hAnsi="新細明體"/>
        </w:rPr>
      </w:pPr>
      <w:r w:rsidRPr="006950BA">
        <w:rPr>
          <w:rFonts w:ascii="新細明體" w:eastAsia="新細明體" w:hAnsi="新細明體"/>
          <w:b/>
          <w:bCs/>
        </w:rPr>
        <w:t>研究設計</w:t>
      </w:r>
      <w:r w:rsidRPr="006950BA">
        <w:rPr>
          <w:rFonts w:ascii="新細明體" w:eastAsia="新細明體" w:hAnsi="新細明體"/>
        </w:rPr>
        <w:br/>
        <w:t>本研究採用文獻探討與模式建構的理論研究設計。首先，系統性回顧神經心理學、自律神經生理、行為遺傳、家庭動力與 NEET／hikikomori 相關研究，分析整合不足之處。其次，基於 SAFE（Stability</w:t>
      </w:r>
      <w:proofErr w:type="gramStart"/>
      <w:r w:rsidRPr="006950BA">
        <w:rPr>
          <w:rFonts w:ascii="新細明體" w:eastAsia="新細明體" w:hAnsi="新細明體"/>
        </w:rPr>
        <w:t>–</w:t>
      </w:r>
      <w:proofErr w:type="gramEnd"/>
      <w:r w:rsidRPr="006950BA">
        <w:rPr>
          <w:rFonts w:ascii="新細明體" w:eastAsia="新細明體" w:hAnsi="新細明體"/>
        </w:rPr>
        <w:t>Autonomic</w:t>
      </w:r>
      <w:proofErr w:type="gramStart"/>
      <w:r w:rsidRPr="006950BA">
        <w:rPr>
          <w:rFonts w:ascii="新細明體" w:eastAsia="新細明體" w:hAnsi="新細明體"/>
        </w:rPr>
        <w:t>–</w:t>
      </w:r>
      <w:proofErr w:type="gramEnd"/>
      <w:r w:rsidRPr="006950BA">
        <w:rPr>
          <w:rFonts w:ascii="新細明體" w:eastAsia="新細明體" w:hAnsi="新細明體"/>
        </w:rPr>
        <w:t>Family</w:t>
      </w:r>
      <w:proofErr w:type="gramStart"/>
      <w:r w:rsidRPr="006950BA">
        <w:rPr>
          <w:rFonts w:ascii="新細明體" w:eastAsia="新細明體" w:hAnsi="新細明體"/>
        </w:rPr>
        <w:t>–</w:t>
      </w:r>
      <w:proofErr w:type="gramEnd"/>
      <w:r w:rsidRPr="006950BA">
        <w:rPr>
          <w:rFonts w:ascii="新細明體" w:eastAsia="新細明體" w:hAnsi="新細明體"/>
        </w:rPr>
        <w:t>Environment）四構面提出團體歷程設計，包含五階段流程（建立期、覺察期、練習期、整合期、行動期），並設計可驗證命題（P1</w:t>
      </w:r>
      <w:proofErr w:type="gramStart"/>
      <w:r w:rsidRPr="006950BA">
        <w:rPr>
          <w:rFonts w:ascii="新細明體" w:eastAsia="新細明體" w:hAnsi="新細明體"/>
        </w:rPr>
        <w:t>–</w:t>
      </w:r>
      <w:proofErr w:type="gramEnd"/>
      <w:r w:rsidRPr="006950BA">
        <w:rPr>
          <w:rFonts w:ascii="新細明體" w:eastAsia="新細明體" w:hAnsi="新細明體"/>
        </w:rPr>
        <w:t>P4）。</w:t>
      </w:r>
    </w:p>
    <w:p w14:paraId="6AB213D8" w14:textId="77777777" w:rsidR="002C6E14" w:rsidRPr="002C6E14" w:rsidRDefault="002C6E14" w:rsidP="002C6E14">
      <w:pPr>
        <w:ind w:leftChars="200" w:left="480"/>
        <w:rPr>
          <w:rFonts w:ascii="新細明體" w:eastAsia="新細明體" w:hAnsi="新細明體"/>
        </w:rPr>
      </w:pPr>
      <w:r w:rsidRPr="002C6E14">
        <w:rPr>
          <w:rFonts w:ascii="新細明體" w:eastAsia="新細明體" w:hAnsi="新細明體"/>
          <w:b/>
          <w:bCs/>
        </w:rPr>
        <w:t>P1（心理</w:t>
      </w:r>
      <w:proofErr w:type="gramStart"/>
      <w:r w:rsidRPr="002C6E14">
        <w:rPr>
          <w:rFonts w:ascii="新細明體" w:eastAsia="新細明體" w:hAnsi="新細明體"/>
          <w:b/>
          <w:bCs/>
        </w:rPr>
        <w:t>—</w:t>
      </w:r>
      <w:proofErr w:type="gramEnd"/>
      <w:r w:rsidRPr="002C6E14">
        <w:rPr>
          <w:rFonts w:ascii="新細明體" w:eastAsia="新細明體" w:hAnsi="新細明體"/>
          <w:b/>
          <w:bCs/>
        </w:rPr>
        <w:t>行為命題）</w:t>
      </w:r>
      <w:r w:rsidRPr="002C6E14">
        <w:rPr>
          <w:rFonts w:ascii="新細明體" w:eastAsia="新細明體" w:hAnsi="新細明體"/>
        </w:rPr>
        <w:t>：</w:t>
      </w:r>
      <w:proofErr w:type="gramStart"/>
      <w:r w:rsidRPr="002C6E14">
        <w:rPr>
          <w:rFonts w:ascii="新細明體" w:eastAsia="新細明體" w:hAnsi="新細明體"/>
        </w:rPr>
        <w:t>不確定性耐受</w:t>
      </w:r>
      <w:proofErr w:type="gramEnd"/>
      <w:r w:rsidRPr="002C6E14">
        <w:rPr>
          <w:rFonts w:ascii="新細明體" w:eastAsia="新細明體" w:hAnsi="新細明體"/>
        </w:rPr>
        <w:t>較高的青年在團體介入後期，其外部行為意圖（如離家獨立意圖、求職行為意圖）顯著提升；</w:t>
      </w:r>
      <w:proofErr w:type="gramStart"/>
      <w:r w:rsidRPr="002C6E14">
        <w:rPr>
          <w:rFonts w:ascii="新細明體" w:eastAsia="新細明體" w:hAnsi="新細明體"/>
        </w:rPr>
        <w:t>不確定性耐受</w:t>
      </w:r>
      <w:proofErr w:type="gramEnd"/>
      <w:r w:rsidRPr="002C6E14">
        <w:rPr>
          <w:rFonts w:ascii="新細明體" w:eastAsia="新細明體" w:hAnsi="新細明體"/>
        </w:rPr>
        <w:t>的減少與行為意圖的提升之間存在顯著的相關性。</w:t>
      </w:r>
    </w:p>
    <w:p w14:paraId="4CB04419" w14:textId="77777777" w:rsidR="002C6E14" w:rsidRPr="002C6E14" w:rsidRDefault="002C6E14" w:rsidP="002C6E14">
      <w:pPr>
        <w:ind w:leftChars="200" w:left="480"/>
        <w:rPr>
          <w:rFonts w:ascii="新細明體" w:eastAsia="新細明體" w:hAnsi="新細明體"/>
        </w:rPr>
      </w:pPr>
      <w:r w:rsidRPr="002C6E14">
        <w:rPr>
          <w:rFonts w:ascii="新細明體" w:eastAsia="新細明體" w:hAnsi="新細明體"/>
          <w:b/>
          <w:bCs/>
        </w:rPr>
        <w:t>P2（生理</w:t>
      </w:r>
      <w:proofErr w:type="gramStart"/>
      <w:r w:rsidRPr="002C6E14">
        <w:rPr>
          <w:rFonts w:ascii="新細明體" w:eastAsia="新細明體" w:hAnsi="新細明體"/>
          <w:b/>
          <w:bCs/>
        </w:rPr>
        <w:t>—</w:t>
      </w:r>
      <w:proofErr w:type="gramEnd"/>
      <w:r w:rsidRPr="002C6E14">
        <w:rPr>
          <w:rFonts w:ascii="新細明體" w:eastAsia="新細明體" w:hAnsi="新細明體"/>
          <w:b/>
          <w:bCs/>
        </w:rPr>
        <w:t>行為命題）</w:t>
      </w:r>
      <w:r w:rsidRPr="002C6E14">
        <w:rPr>
          <w:rFonts w:ascii="新細明體" w:eastAsia="新細明體" w:hAnsi="新細明體"/>
        </w:rPr>
        <w:t>：在團體介入後，具</w:t>
      </w:r>
      <w:proofErr w:type="gramStart"/>
      <w:r w:rsidRPr="002C6E14">
        <w:rPr>
          <w:rFonts w:ascii="新細明體" w:eastAsia="新細明體" w:hAnsi="新細明體"/>
        </w:rPr>
        <w:t>較佳回彈</w:t>
      </w:r>
      <w:proofErr w:type="gramEnd"/>
      <w:r w:rsidRPr="002C6E14">
        <w:rPr>
          <w:rFonts w:ascii="新細明體" w:eastAsia="新細明體" w:hAnsi="新細明體"/>
        </w:rPr>
        <w:t>能力的青年在自主決策行為與外部探索行為上顯著增加；回彈能力的改善能預測其行動化的傾向。</w:t>
      </w:r>
    </w:p>
    <w:p w14:paraId="21314BE0" w14:textId="77777777" w:rsidR="002C6E14" w:rsidRPr="002C6E14" w:rsidRDefault="002C6E14" w:rsidP="002C6E14">
      <w:pPr>
        <w:ind w:leftChars="200" w:left="480"/>
        <w:rPr>
          <w:rFonts w:ascii="新細明體" w:eastAsia="新細明體" w:hAnsi="新細明體"/>
        </w:rPr>
      </w:pPr>
      <w:r w:rsidRPr="002C6E14">
        <w:rPr>
          <w:rFonts w:ascii="新細明體" w:eastAsia="新細明體" w:hAnsi="新細明體"/>
          <w:b/>
          <w:bCs/>
        </w:rPr>
        <w:t>P3（家庭</w:t>
      </w:r>
      <w:proofErr w:type="gramStart"/>
      <w:r w:rsidRPr="002C6E14">
        <w:rPr>
          <w:rFonts w:ascii="新細明體" w:eastAsia="新細明體" w:hAnsi="新細明體"/>
          <w:b/>
          <w:bCs/>
        </w:rPr>
        <w:t>—</w:t>
      </w:r>
      <w:proofErr w:type="gramEnd"/>
      <w:r w:rsidRPr="002C6E14">
        <w:rPr>
          <w:rFonts w:ascii="新細明體" w:eastAsia="新細明體" w:hAnsi="新細明體"/>
          <w:b/>
          <w:bCs/>
        </w:rPr>
        <w:t>團體交互命題）</w:t>
      </w:r>
      <w:r w:rsidRPr="002C6E14">
        <w:rPr>
          <w:rFonts w:ascii="新細明體" w:eastAsia="新細明體" w:hAnsi="新細明體"/>
        </w:rPr>
        <w:t>：過度保護式教養經驗與低回彈能力的交互作用可顯著預測團體初期的退縮行為強度；然而，在團體安全支持與共調節的介入下，該交互作用的負面影響將顯著減弱。</w:t>
      </w:r>
    </w:p>
    <w:p w14:paraId="7B388D37" w14:textId="77777777" w:rsidR="002C6E14" w:rsidRPr="002C6E14" w:rsidRDefault="002C6E14" w:rsidP="002C6E14">
      <w:pPr>
        <w:ind w:leftChars="200" w:left="480"/>
        <w:rPr>
          <w:rFonts w:ascii="新細明體" w:eastAsia="新細明體" w:hAnsi="新細明體"/>
        </w:rPr>
      </w:pPr>
      <w:r w:rsidRPr="002C6E14">
        <w:rPr>
          <w:rFonts w:ascii="新細明體" w:eastAsia="新細明體" w:hAnsi="新細明體"/>
          <w:b/>
          <w:bCs/>
        </w:rPr>
        <w:t>P4（文化</w:t>
      </w:r>
      <w:proofErr w:type="gramStart"/>
      <w:r w:rsidRPr="002C6E14">
        <w:rPr>
          <w:rFonts w:ascii="新細明體" w:eastAsia="新細明體" w:hAnsi="新細明體"/>
          <w:b/>
          <w:bCs/>
        </w:rPr>
        <w:t>—</w:t>
      </w:r>
      <w:proofErr w:type="gramEnd"/>
      <w:r w:rsidRPr="002C6E14">
        <w:rPr>
          <w:rFonts w:ascii="新細明體" w:eastAsia="新細明體" w:hAnsi="新細明體"/>
          <w:b/>
          <w:bCs/>
        </w:rPr>
        <w:t>行為命題）</w:t>
      </w:r>
      <w:r w:rsidRPr="002C6E14">
        <w:rPr>
          <w:rFonts w:ascii="新細明體" w:eastAsia="新細明體" w:hAnsi="新細明體"/>
        </w:rPr>
        <w:t>：團體歷程中社會安全線索的密度（如支持性語言、非語言共感、同儕正向回饋）與成員在團體後期的外部挑戰行為（如參與社會活動、嘗試新角色）之間存在顯著的正相關。</w:t>
      </w:r>
    </w:p>
    <w:p w14:paraId="256BF138" w14:textId="7664ADCB" w:rsidR="006950BA" w:rsidRPr="006950BA" w:rsidRDefault="006950BA" w:rsidP="002C6E14">
      <w:pPr>
        <w:rPr>
          <w:rFonts w:ascii="新細明體" w:eastAsia="新細明體" w:hAnsi="新細明體"/>
        </w:rPr>
      </w:pPr>
      <w:r w:rsidRPr="006950BA">
        <w:rPr>
          <w:rFonts w:ascii="新細明體" w:eastAsia="新細明體" w:hAnsi="新細明體"/>
          <w:b/>
          <w:bCs/>
        </w:rPr>
        <w:t>研究發現</w:t>
      </w:r>
      <w:r w:rsidRPr="006950BA">
        <w:rPr>
          <w:rFonts w:ascii="新細明體" w:eastAsia="新細明體" w:hAnsi="新細明體"/>
        </w:rPr>
        <w:br/>
        <w:t>研究指出，退縮青年之居家依附行為不僅為結構結果，更是「神經</w:t>
      </w:r>
      <w:proofErr w:type="gramStart"/>
      <w:r w:rsidRPr="006950BA">
        <w:rPr>
          <w:rFonts w:ascii="新細明體" w:eastAsia="新細明體" w:hAnsi="新細明體"/>
        </w:rPr>
        <w:t>—</w:t>
      </w:r>
      <w:proofErr w:type="gramEnd"/>
      <w:r w:rsidRPr="006950BA">
        <w:rPr>
          <w:rFonts w:ascii="新細明體" w:eastAsia="新細明體" w:hAnsi="新細明體"/>
        </w:rPr>
        <w:t>家庭</w:t>
      </w:r>
      <w:proofErr w:type="gramStart"/>
      <w:r w:rsidRPr="006950BA">
        <w:rPr>
          <w:rFonts w:ascii="新細明體" w:eastAsia="新細明體" w:hAnsi="新細明體"/>
        </w:rPr>
        <w:t>—</w:t>
      </w:r>
      <w:proofErr w:type="gramEnd"/>
      <w:r w:rsidRPr="006950BA">
        <w:rPr>
          <w:rFonts w:ascii="新細明體" w:eastAsia="新細明體" w:hAnsi="新細明體"/>
        </w:rPr>
        <w:t>文化」交互的適應性歷程。SAFE-Home 模式透過逐步暴露、不確定性容忍訓練、生理共調節練習、家庭依附重構與文化脈絡探索，能在維持安全感的前提下促進青年外部功能。</w:t>
      </w:r>
    </w:p>
    <w:p w14:paraId="3911B288" w14:textId="6CFF7561" w:rsidR="006950BA" w:rsidRPr="006950BA" w:rsidRDefault="006950BA" w:rsidP="002C6E14">
      <w:pPr>
        <w:rPr>
          <w:rFonts w:ascii="新細明體" w:eastAsia="新細明體" w:hAnsi="新細明體"/>
        </w:rPr>
      </w:pPr>
      <w:r w:rsidRPr="006950BA">
        <w:rPr>
          <w:rFonts w:ascii="新細明體" w:eastAsia="新細明體" w:hAnsi="新細明體"/>
          <w:b/>
          <w:bCs/>
        </w:rPr>
        <w:t>結論</w:t>
      </w:r>
      <w:r w:rsidRPr="006950BA">
        <w:rPr>
          <w:rFonts w:ascii="新細明體" w:eastAsia="新細明體" w:hAnsi="新細明體"/>
        </w:rPr>
        <w:br/>
        <w:t>SAFE-Home 模式為針對寄生單身／NEET 青年設計的創新團體諮商架構，將安全感作為改變起點，透過可控挑戰與多層次共調節機制，協助青年從被動依附轉向主動探索。該模式不僅填補了現有理論與</w:t>
      </w:r>
      <w:r w:rsidRPr="006950BA">
        <w:rPr>
          <w:rFonts w:ascii="新細明體" w:eastAsia="新細明體" w:hAnsi="新細明體"/>
        </w:rPr>
        <w:lastRenderedPageBreak/>
        <w:t>工具對神經生理層面的整合空白，也提供臨床實務中團體歷程可操作的介入流程，為未來團體介入與跨層次研究提供新的方向。</w:t>
      </w:r>
    </w:p>
    <w:p w14:paraId="76FAE64B" w14:textId="77777777" w:rsidR="006950BA" w:rsidRDefault="006950BA" w:rsidP="002C6E14">
      <w:pPr>
        <w:rPr>
          <w:rFonts w:ascii="新細明體" w:eastAsia="新細明體" w:hAnsi="新細明體"/>
        </w:rPr>
      </w:pPr>
      <w:r w:rsidRPr="006950BA">
        <w:rPr>
          <w:rFonts w:ascii="新細明體" w:eastAsia="新細明體" w:hAnsi="新細明體"/>
          <w:b/>
          <w:bCs/>
        </w:rPr>
        <w:t>關鍵詞</w:t>
      </w:r>
      <w:r w:rsidRPr="006950BA">
        <w:rPr>
          <w:rFonts w:ascii="新細明體" w:eastAsia="新細明體" w:hAnsi="新細明體"/>
        </w:rPr>
        <w:t>：SAFE-Home、NEET、寄生單身、團體諮商、</w:t>
      </w:r>
      <w:proofErr w:type="gramStart"/>
      <w:r w:rsidRPr="006950BA">
        <w:rPr>
          <w:rFonts w:ascii="新細明體" w:eastAsia="新細明體" w:hAnsi="新細明體"/>
        </w:rPr>
        <w:t>不確定性耐受</w:t>
      </w:r>
      <w:proofErr w:type="gramEnd"/>
    </w:p>
    <w:sectPr w:rsidR="006950BA" w:rsidSect="00F37EA3">
      <w:pgSz w:w="11906" w:h="16838"/>
      <w:pgMar w:top="720" w:right="566"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AEB26" w14:textId="77777777" w:rsidR="00AD608F" w:rsidRDefault="00AD608F" w:rsidP="00AD608F">
      <w:pPr>
        <w:spacing w:after="0" w:line="240" w:lineRule="auto"/>
      </w:pPr>
      <w:r>
        <w:separator/>
      </w:r>
    </w:p>
  </w:endnote>
  <w:endnote w:type="continuationSeparator" w:id="0">
    <w:p w14:paraId="3E9456F8" w14:textId="77777777" w:rsidR="00AD608F" w:rsidRDefault="00AD608F" w:rsidP="00AD6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3246F" w14:textId="77777777" w:rsidR="00AD608F" w:rsidRDefault="00AD608F" w:rsidP="00AD608F">
      <w:pPr>
        <w:spacing w:after="0" w:line="240" w:lineRule="auto"/>
      </w:pPr>
      <w:r>
        <w:separator/>
      </w:r>
    </w:p>
  </w:footnote>
  <w:footnote w:type="continuationSeparator" w:id="0">
    <w:p w14:paraId="76680F59" w14:textId="77777777" w:rsidR="00AD608F" w:rsidRDefault="00AD608F" w:rsidP="00AD60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03B85"/>
    <w:multiLevelType w:val="multilevel"/>
    <w:tmpl w:val="1FA08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501B21"/>
    <w:multiLevelType w:val="hybridMultilevel"/>
    <w:tmpl w:val="E924BE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60993070">
    <w:abstractNumId w:val="0"/>
  </w:num>
  <w:num w:numId="2" w16cid:durableId="344211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48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BA"/>
    <w:rsid w:val="00103B28"/>
    <w:rsid w:val="001B10A6"/>
    <w:rsid w:val="00236094"/>
    <w:rsid w:val="002C6E14"/>
    <w:rsid w:val="006435D6"/>
    <w:rsid w:val="006950BA"/>
    <w:rsid w:val="00985CFA"/>
    <w:rsid w:val="00A7120D"/>
    <w:rsid w:val="00A97AF6"/>
    <w:rsid w:val="00AC2959"/>
    <w:rsid w:val="00AD608F"/>
    <w:rsid w:val="00CC7CF6"/>
    <w:rsid w:val="00DE2F61"/>
    <w:rsid w:val="00F37E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01DEFA"/>
  <w15:chartTrackingRefBased/>
  <w15:docId w15:val="{B0071257-10E0-45E5-9086-30B43932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50B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950B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950BA"/>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6950BA"/>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6950B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950BA"/>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6950BA"/>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950BA"/>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6950BA"/>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950BA"/>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6950BA"/>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6950BA"/>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6950BA"/>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6950BA"/>
    <w:rPr>
      <w:rFonts w:eastAsiaTheme="majorEastAsia" w:cstheme="majorBidi"/>
      <w:color w:val="0F4761" w:themeColor="accent1" w:themeShade="BF"/>
    </w:rPr>
  </w:style>
  <w:style w:type="character" w:customStyle="1" w:styleId="60">
    <w:name w:val="標題 6 字元"/>
    <w:basedOn w:val="a0"/>
    <w:link w:val="6"/>
    <w:uiPriority w:val="9"/>
    <w:semiHidden/>
    <w:rsid w:val="006950BA"/>
    <w:rPr>
      <w:rFonts w:eastAsiaTheme="majorEastAsia" w:cstheme="majorBidi"/>
      <w:color w:val="595959" w:themeColor="text1" w:themeTint="A6"/>
    </w:rPr>
  </w:style>
  <w:style w:type="character" w:customStyle="1" w:styleId="70">
    <w:name w:val="標題 7 字元"/>
    <w:basedOn w:val="a0"/>
    <w:link w:val="7"/>
    <w:uiPriority w:val="9"/>
    <w:semiHidden/>
    <w:rsid w:val="006950BA"/>
    <w:rPr>
      <w:rFonts w:eastAsiaTheme="majorEastAsia" w:cstheme="majorBidi"/>
      <w:color w:val="595959" w:themeColor="text1" w:themeTint="A6"/>
    </w:rPr>
  </w:style>
  <w:style w:type="character" w:customStyle="1" w:styleId="80">
    <w:name w:val="標題 8 字元"/>
    <w:basedOn w:val="a0"/>
    <w:link w:val="8"/>
    <w:uiPriority w:val="9"/>
    <w:semiHidden/>
    <w:rsid w:val="006950BA"/>
    <w:rPr>
      <w:rFonts w:eastAsiaTheme="majorEastAsia" w:cstheme="majorBidi"/>
      <w:color w:val="272727" w:themeColor="text1" w:themeTint="D8"/>
    </w:rPr>
  </w:style>
  <w:style w:type="character" w:customStyle="1" w:styleId="90">
    <w:name w:val="標題 9 字元"/>
    <w:basedOn w:val="a0"/>
    <w:link w:val="9"/>
    <w:uiPriority w:val="9"/>
    <w:semiHidden/>
    <w:rsid w:val="006950BA"/>
    <w:rPr>
      <w:rFonts w:eastAsiaTheme="majorEastAsia" w:cstheme="majorBidi"/>
      <w:color w:val="272727" w:themeColor="text1" w:themeTint="D8"/>
    </w:rPr>
  </w:style>
  <w:style w:type="paragraph" w:styleId="a3">
    <w:name w:val="Title"/>
    <w:basedOn w:val="a"/>
    <w:next w:val="a"/>
    <w:link w:val="a4"/>
    <w:uiPriority w:val="10"/>
    <w:qFormat/>
    <w:rsid w:val="006950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6950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50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6950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50BA"/>
    <w:pPr>
      <w:spacing w:before="160"/>
      <w:jc w:val="center"/>
    </w:pPr>
    <w:rPr>
      <w:i/>
      <w:iCs/>
      <w:color w:val="404040" w:themeColor="text1" w:themeTint="BF"/>
    </w:rPr>
  </w:style>
  <w:style w:type="character" w:customStyle="1" w:styleId="a8">
    <w:name w:val="引文 字元"/>
    <w:basedOn w:val="a0"/>
    <w:link w:val="a7"/>
    <w:uiPriority w:val="29"/>
    <w:rsid w:val="006950BA"/>
    <w:rPr>
      <w:i/>
      <w:iCs/>
      <w:color w:val="404040" w:themeColor="text1" w:themeTint="BF"/>
    </w:rPr>
  </w:style>
  <w:style w:type="paragraph" w:styleId="a9">
    <w:name w:val="List Paragraph"/>
    <w:basedOn w:val="a"/>
    <w:uiPriority w:val="34"/>
    <w:qFormat/>
    <w:rsid w:val="006950BA"/>
    <w:pPr>
      <w:ind w:left="720"/>
      <w:contextualSpacing/>
    </w:pPr>
  </w:style>
  <w:style w:type="character" w:styleId="aa">
    <w:name w:val="Intense Emphasis"/>
    <w:basedOn w:val="a0"/>
    <w:uiPriority w:val="21"/>
    <w:qFormat/>
    <w:rsid w:val="006950BA"/>
    <w:rPr>
      <w:i/>
      <w:iCs/>
      <w:color w:val="0F4761" w:themeColor="accent1" w:themeShade="BF"/>
    </w:rPr>
  </w:style>
  <w:style w:type="paragraph" w:styleId="ab">
    <w:name w:val="Intense Quote"/>
    <w:basedOn w:val="a"/>
    <w:next w:val="a"/>
    <w:link w:val="ac"/>
    <w:uiPriority w:val="30"/>
    <w:qFormat/>
    <w:rsid w:val="00695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6950BA"/>
    <w:rPr>
      <w:i/>
      <w:iCs/>
      <w:color w:val="0F4761" w:themeColor="accent1" w:themeShade="BF"/>
    </w:rPr>
  </w:style>
  <w:style w:type="character" w:styleId="ad">
    <w:name w:val="Intense Reference"/>
    <w:basedOn w:val="a0"/>
    <w:uiPriority w:val="32"/>
    <w:qFormat/>
    <w:rsid w:val="006950BA"/>
    <w:rPr>
      <w:b/>
      <w:bCs/>
      <w:smallCaps/>
      <w:color w:val="0F4761" w:themeColor="accent1" w:themeShade="BF"/>
      <w:spacing w:val="5"/>
    </w:rPr>
  </w:style>
  <w:style w:type="paragraph" w:styleId="ae">
    <w:name w:val="header"/>
    <w:basedOn w:val="a"/>
    <w:link w:val="af"/>
    <w:uiPriority w:val="99"/>
    <w:unhideWhenUsed/>
    <w:rsid w:val="00AD608F"/>
    <w:pPr>
      <w:tabs>
        <w:tab w:val="center" w:pos="4153"/>
        <w:tab w:val="right" w:pos="8306"/>
      </w:tabs>
      <w:snapToGrid w:val="0"/>
    </w:pPr>
    <w:rPr>
      <w:sz w:val="20"/>
      <w:szCs w:val="20"/>
    </w:rPr>
  </w:style>
  <w:style w:type="character" w:customStyle="1" w:styleId="af">
    <w:name w:val="頁首 字元"/>
    <w:basedOn w:val="a0"/>
    <w:link w:val="ae"/>
    <w:uiPriority w:val="99"/>
    <w:rsid w:val="00AD608F"/>
    <w:rPr>
      <w:sz w:val="20"/>
      <w:szCs w:val="20"/>
    </w:rPr>
  </w:style>
  <w:style w:type="paragraph" w:styleId="af0">
    <w:name w:val="footer"/>
    <w:basedOn w:val="a"/>
    <w:link w:val="af1"/>
    <w:uiPriority w:val="99"/>
    <w:unhideWhenUsed/>
    <w:rsid w:val="00AD608F"/>
    <w:pPr>
      <w:tabs>
        <w:tab w:val="center" w:pos="4153"/>
        <w:tab w:val="right" w:pos="8306"/>
      </w:tabs>
      <w:snapToGrid w:val="0"/>
    </w:pPr>
    <w:rPr>
      <w:sz w:val="20"/>
      <w:szCs w:val="20"/>
    </w:rPr>
  </w:style>
  <w:style w:type="character" w:customStyle="1" w:styleId="af1">
    <w:name w:val="頁尾 字元"/>
    <w:basedOn w:val="a0"/>
    <w:link w:val="af0"/>
    <w:uiPriority w:val="99"/>
    <w:rsid w:val="00AD608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依彤 施</dc:creator>
  <cp:keywords/>
  <dc:description/>
  <cp:lastModifiedBy>依彤 施</cp:lastModifiedBy>
  <cp:revision>3</cp:revision>
  <dcterms:created xsi:type="dcterms:W3CDTF">2025-11-02T10:25:00Z</dcterms:created>
  <dcterms:modified xsi:type="dcterms:W3CDTF">2025-11-02T10:26:00Z</dcterms:modified>
</cp:coreProperties>
</file>